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7" w:lineRule="atLeast"/>
        <w:jc w:val="center"/>
        <w:rPr>
          <w:color w:val="333333"/>
        </w:rPr>
      </w:pPr>
      <w:r>
        <w:rPr>
          <w:color w:val="333333"/>
        </w:rPr>
        <w:t>河源市人民检察院</w:t>
      </w:r>
    </w:p>
    <w:p>
      <w:pPr>
        <w:pStyle w:val="2"/>
        <w:keepNext w:val="0"/>
        <w:keepLines w:val="0"/>
        <w:widowControl/>
        <w:suppressLineNumbers w:val="0"/>
        <w:spacing w:line="27" w:lineRule="atLeast"/>
        <w:jc w:val="center"/>
        <w:rPr>
          <w:color w:val="333333"/>
        </w:rPr>
      </w:pPr>
      <w:r>
        <w:rPr>
          <w:color w:val="333333"/>
        </w:rPr>
        <w:t>2016年度部门预算公开</w:t>
      </w:r>
    </w:p>
    <w:p/>
    <w:p>
      <w:pPr>
        <w:jc w:val="center"/>
        <w:rPr>
          <w:rFonts w:hint="eastAsia"/>
          <w:b w:val="0"/>
          <w:bCs w:val="0"/>
          <w:sz w:val="32"/>
          <w:szCs w:val="40"/>
          <w:lang w:val="en-US" w:eastAsia="zh-CN"/>
        </w:rPr>
      </w:pPr>
      <w:r>
        <w:rPr>
          <w:rFonts w:hint="eastAsia"/>
          <w:b w:val="0"/>
          <w:bCs w:val="0"/>
          <w:sz w:val="44"/>
          <w:szCs w:val="44"/>
          <w:lang w:val="en-US" w:eastAsia="zh-CN"/>
        </w:rPr>
        <w:t>目录</w:t>
      </w:r>
    </w:p>
    <w:p>
      <w:pPr>
        <w:numPr>
          <w:ilvl w:val="0"/>
          <w:numId w:val="1"/>
        </w:numPr>
        <w:tabs>
          <w:tab w:val="left" w:pos="561"/>
        </w:tabs>
        <w:rPr>
          <w:rFonts w:hint="eastAsia"/>
          <w:sz w:val="28"/>
          <w:szCs w:val="36"/>
          <w:lang w:val="en-US" w:eastAsia="zh-CN"/>
        </w:rPr>
      </w:pPr>
      <w:r>
        <w:rPr>
          <w:rFonts w:hint="eastAsia"/>
          <w:sz w:val="28"/>
          <w:szCs w:val="36"/>
          <w:lang w:val="en-US" w:eastAsia="zh-CN"/>
        </w:rPr>
        <w:t>河源市人民检察院基本概况</w:t>
      </w:r>
    </w:p>
    <w:p>
      <w:pPr>
        <w:numPr>
          <w:ilvl w:val="0"/>
          <w:numId w:val="2"/>
        </w:numPr>
        <w:rPr>
          <w:rFonts w:hint="eastAsia"/>
          <w:sz w:val="28"/>
          <w:szCs w:val="36"/>
          <w:lang w:val="en-US" w:eastAsia="zh-CN"/>
        </w:rPr>
      </w:pPr>
      <w:r>
        <w:rPr>
          <w:rFonts w:hint="eastAsia"/>
          <w:sz w:val="28"/>
          <w:szCs w:val="36"/>
          <w:lang w:val="en-US" w:eastAsia="zh-CN"/>
        </w:rPr>
        <w:t>主要职责</w:t>
      </w:r>
    </w:p>
    <w:p>
      <w:pPr>
        <w:numPr>
          <w:ilvl w:val="0"/>
          <w:numId w:val="2"/>
        </w:numPr>
        <w:rPr>
          <w:rFonts w:hint="eastAsia"/>
          <w:sz w:val="28"/>
          <w:szCs w:val="36"/>
          <w:lang w:val="en-US" w:eastAsia="zh-CN"/>
        </w:rPr>
      </w:pPr>
      <w:r>
        <w:rPr>
          <w:rFonts w:hint="eastAsia"/>
          <w:sz w:val="28"/>
          <w:szCs w:val="36"/>
          <w:lang w:val="en-US" w:eastAsia="zh-CN"/>
        </w:rPr>
        <w:t>机构设置</w:t>
      </w:r>
    </w:p>
    <w:p>
      <w:pPr>
        <w:numPr>
          <w:ilvl w:val="0"/>
          <w:numId w:val="1"/>
        </w:numPr>
        <w:ind w:left="0" w:leftChars="0" w:firstLine="0" w:firstLineChars="0"/>
        <w:rPr>
          <w:rFonts w:hint="eastAsia"/>
          <w:sz w:val="28"/>
          <w:szCs w:val="36"/>
          <w:lang w:val="en-US" w:eastAsia="zh-CN"/>
        </w:rPr>
      </w:pPr>
      <w:r>
        <w:rPr>
          <w:rFonts w:hint="eastAsia"/>
          <w:sz w:val="28"/>
          <w:szCs w:val="36"/>
          <w:lang w:val="en-US" w:eastAsia="zh-CN"/>
        </w:rPr>
        <w:t>2016年部门预算</w:t>
      </w:r>
    </w:p>
    <w:p>
      <w:pPr>
        <w:numPr>
          <w:ilvl w:val="0"/>
          <w:numId w:val="3"/>
        </w:numPr>
        <w:ind w:leftChars="0"/>
        <w:rPr>
          <w:rFonts w:hint="eastAsia"/>
          <w:sz w:val="28"/>
          <w:szCs w:val="36"/>
          <w:lang w:val="en-US" w:eastAsia="zh-CN"/>
        </w:rPr>
      </w:pPr>
      <w:r>
        <w:rPr>
          <w:rFonts w:hint="eastAsia"/>
          <w:sz w:val="28"/>
          <w:szCs w:val="36"/>
          <w:lang w:val="en-US" w:eastAsia="zh-CN"/>
        </w:rPr>
        <w:t>收支总体情况表</w:t>
      </w:r>
    </w:p>
    <w:p>
      <w:pPr>
        <w:numPr>
          <w:ilvl w:val="0"/>
          <w:numId w:val="3"/>
        </w:numPr>
        <w:ind w:leftChars="0"/>
        <w:rPr>
          <w:rFonts w:hint="eastAsia"/>
          <w:sz w:val="28"/>
          <w:szCs w:val="36"/>
          <w:lang w:val="en-US" w:eastAsia="zh-CN"/>
        </w:rPr>
      </w:pPr>
      <w:r>
        <w:rPr>
          <w:rFonts w:hint="eastAsia"/>
          <w:sz w:val="28"/>
          <w:szCs w:val="36"/>
          <w:lang w:val="en-US" w:eastAsia="zh-CN"/>
        </w:rPr>
        <w:t>收入总体情况表</w:t>
      </w:r>
    </w:p>
    <w:p>
      <w:pPr>
        <w:numPr>
          <w:ilvl w:val="0"/>
          <w:numId w:val="3"/>
        </w:numPr>
        <w:ind w:leftChars="0"/>
        <w:rPr>
          <w:rFonts w:hint="eastAsia"/>
          <w:sz w:val="28"/>
          <w:szCs w:val="36"/>
          <w:lang w:val="en-US" w:eastAsia="zh-CN"/>
        </w:rPr>
      </w:pPr>
      <w:r>
        <w:rPr>
          <w:rFonts w:hint="eastAsia"/>
          <w:sz w:val="28"/>
          <w:szCs w:val="36"/>
          <w:lang w:val="en-US" w:eastAsia="zh-CN"/>
        </w:rPr>
        <w:t>支出总体情况表</w:t>
      </w:r>
    </w:p>
    <w:p>
      <w:pPr>
        <w:numPr>
          <w:ilvl w:val="0"/>
          <w:numId w:val="3"/>
        </w:numPr>
        <w:ind w:leftChars="0"/>
        <w:rPr>
          <w:rFonts w:hint="eastAsia"/>
          <w:sz w:val="28"/>
          <w:szCs w:val="36"/>
          <w:lang w:val="en-US" w:eastAsia="zh-CN"/>
        </w:rPr>
      </w:pPr>
      <w:r>
        <w:rPr>
          <w:rFonts w:hint="eastAsia"/>
          <w:sz w:val="28"/>
          <w:szCs w:val="36"/>
          <w:lang w:val="en-US" w:eastAsia="zh-CN"/>
        </w:rPr>
        <w:t>财政拨款收支总体情况表</w:t>
      </w:r>
    </w:p>
    <w:p>
      <w:pPr>
        <w:numPr>
          <w:ilvl w:val="0"/>
          <w:numId w:val="3"/>
        </w:numPr>
        <w:ind w:leftChars="0"/>
        <w:rPr>
          <w:rFonts w:hint="eastAsia"/>
          <w:sz w:val="28"/>
          <w:szCs w:val="36"/>
          <w:lang w:val="en-US" w:eastAsia="zh-CN"/>
        </w:rPr>
      </w:pPr>
      <w:r>
        <w:rPr>
          <w:rFonts w:hint="eastAsia"/>
          <w:sz w:val="28"/>
          <w:szCs w:val="36"/>
          <w:lang w:val="en-US" w:eastAsia="zh-CN"/>
        </w:rPr>
        <w:t>一般公共预算支出情况表（按功能科目分类）</w:t>
      </w:r>
    </w:p>
    <w:p>
      <w:pPr>
        <w:numPr>
          <w:ilvl w:val="0"/>
          <w:numId w:val="3"/>
        </w:numPr>
        <w:ind w:leftChars="0"/>
        <w:rPr>
          <w:rFonts w:hint="eastAsia"/>
          <w:sz w:val="28"/>
          <w:szCs w:val="36"/>
          <w:lang w:val="en-US" w:eastAsia="zh-CN"/>
        </w:rPr>
      </w:pPr>
      <w:r>
        <w:rPr>
          <w:rFonts w:hint="eastAsia"/>
          <w:sz w:val="28"/>
          <w:szCs w:val="36"/>
          <w:lang w:val="en-US" w:eastAsia="zh-CN"/>
        </w:rPr>
        <w:t>一般公共预算基本支出情况表（按支出经济科目分类）</w:t>
      </w:r>
    </w:p>
    <w:p>
      <w:pPr>
        <w:numPr>
          <w:ilvl w:val="0"/>
          <w:numId w:val="3"/>
        </w:numPr>
        <w:ind w:leftChars="0"/>
        <w:rPr>
          <w:rFonts w:hint="eastAsia"/>
          <w:sz w:val="28"/>
          <w:szCs w:val="36"/>
          <w:lang w:val="en-US" w:eastAsia="zh-CN"/>
        </w:rPr>
      </w:pPr>
      <w:r>
        <w:rPr>
          <w:rFonts w:hint="eastAsia"/>
          <w:sz w:val="28"/>
          <w:szCs w:val="36"/>
          <w:lang w:val="en-US" w:eastAsia="zh-CN"/>
        </w:rPr>
        <w:t>一般公共预算项目支出情况表（按支出经济科目分类）</w:t>
      </w:r>
    </w:p>
    <w:p>
      <w:pPr>
        <w:numPr>
          <w:ilvl w:val="0"/>
          <w:numId w:val="3"/>
        </w:numPr>
        <w:ind w:leftChars="0"/>
        <w:rPr>
          <w:rFonts w:hint="eastAsia"/>
          <w:sz w:val="28"/>
          <w:szCs w:val="36"/>
          <w:lang w:val="en-US" w:eastAsia="zh-CN"/>
        </w:rPr>
      </w:pPr>
      <w:r>
        <w:rPr>
          <w:rFonts w:hint="eastAsia"/>
          <w:sz w:val="28"/>
          <w:szCs w:val="36"/>
          <w:lang w:val="en-US" w:eastAsia="zh-CN"/>
        </w:rPr>
        <w:t>一般公共预算安排的行政经费及“三公经费预算表”</w:t>
      </w:r>
    </w:p>
    <w:p>
      <w:pPr>
        <w:numPr>
          <w:ilvl w:val="0"/>
          <w:numId w:val="3"/>
        </w:numPr>
        <w:ind w:left="0" w:leftChars="0" w:firstLine="0" w:firstLineChars="0"/>
        <w:rPr>
          <w:rFonts w:hint="eastAsia"/>
          <w:sz w:val="28"/>
          <w:szCs w:val="36"/>
          <w:lang w:val="en-US" w:eastAsia="zh-CN"/>
        </w:rPr>
      </w:pPr>
      <w:r>
        <w:rPr>
          <w:rFonts w:hint="eastAsia"/>
          <w:sz w:val="28"/>
          <w:szCs w:val="36"/>
          <w:lang w:val="en-US" w:eastAsia="zh-CN"/>
        </w:rPr>
        <w:t>政府性基金预算支出情况表</w:t>
      </w:r>
    </w:p>
    <w:p>
      <w:pPr>
        <w:numPr>
          <w:ilvl w:val="0"/>
          <w:numId w:val="3"/>
        </w:numPr>
        <w:ind w:left="0" w:leftChars="0" w:firstLine="0" w:firstLineChars="0"/>
        <w:rPr>
          <w:rFonts w:hint="eastAsia"/>
          <w:sz w:val="28"/>
          <w:szCs w:val="36"/>
          <w:lang w:val="en-US" w:eastAsia="zh-CN"/>
        </w:rPr>
      </w:pPr>
      <w:r>
        <w:rPr>
          <w:rFonts w:hint="eastAsia"/>
          <w:sz w:val="28"/>
          <w:szCs w:val="36"/>
          <w:lang w:val="en-US" w:eastAsia="zh-CN"/>
        </w:rPr>
        <w:t>部门预算基本支出预算表</w:t>
      </w:r>
    </w:p>
    <w:p>
      <w:pPr>
        <w:numPr>
          <w:ilvl w:val="0"/>
          <w:numId w:val="3"/>
        </w:numPr>
        <w:ind w:left="0" w:leftChars="0" w:firstLine="0" w:firstLineChars="0"/>
        <w:rPr>
          <w:rFonts w:hint="eastAsia"/>
          <w:sz w:val="28"/>
          <w:szCs w:val="36"/>
          <w:lang w:val="en-US" w:eastAsia="zh-CN"/>
        </w:rPr>
      </w:pPr>
      <w:r>
        <w:rPr>
          <w:rFonts w:hint="eastAsia"/>
          <w:sz w:val="28"/>
          <w:szCs w:val="36"/>
          <w:lang w:val="en-US" w:eastAsia="zh-CN"/>
        </w:rPr>
        <w:t>部门预算项目支出及其他支出预算表</w:t>
      </w:r>
    </w:p>
    <w:p>
      <w:pPr>
        <w:numPr>
          <w:ilvl w:val="0"/>
          <w:numId w:val="1"/>
        </w:numPr>
        <w:ind w:left="0" w:leftChars="0" w:firstLine="0" w:firstLineChars="0"/>
        <w:rPr>
          <w:rFonts w:hint="eastAsia"/>
          <w:sz w:val="28"/>
          <w:szCs w:val="36"/>
          <w:lang w:val="en-US" w:eastAsia="zh-CN"/>
        </w:rPr>
      </w:pPr>
      <w:r>
        <w:rPr>
          <w:rFonts w:hint="eastAsia"/>
          <w:sz w:val="28"/>
          <w:szCs w:val="36"/>
          <w:lang w:val="en-US" w:eastAsia="zh-CN"/>
        </w:rPr>
        <w:t>2016年部门预算情况说明</w:t>
      </w:r>
    </w:p>
    <w:p>
      <w:pPr>
        <w:numPr>
          <w:ilvl w:val="0"/>
          <w:numId w:val="1"/>
        </w:numPr>
        <w:ind w:left="0" w:leftChars="0" w:firstLine="0" w:firstLineChars="0"/>
        <w:rPr>
          <w:rFonts w:hint="eastAsia"/>
          <w:sz w:val="28"/>
          <w:szCs w:val="36"/>
          <w:lang w:val="en-US" w:eastAsia="zh-CN"/>
        </w:rPr>
      </w:pPr>
      <w:r>
        <w:rPr>
          <w:rFonts w:hint="eastAsia"/>
          <w:sz w:val="28"/>
          <w:szCs w:val="36"/>
          <w:lang w:val="en-US" w:eastAsia="zh-CN"/>
        </w:rPr>
        <w:t>名词解释</w:t>
      </w:r>
    </w:p>
    <w:p>
      <w:pPr>
        <w:rPr>
          <w:rFonts w:hint="eastAsia"/>
          <w:lang w:val="en-US" w:eastAsia="zh-CN"/>
        </w:rPr>
      </w:pPr>
    </w:p>
    <w:p>
      <w:pPr>
        <w:keepNext w:val="0"/>
        <w:keepLines w:val="0"/>
        <w:widowControl/>
        <w:suppressLineNumbers w:val="0"/>
        <w:shd w:val="clear" w:fill="FFFFFF"/>
        <w:spacing w:before="0" w:beforeAutospacing="0" w:after="0" w:afterAutospacing="0" w:line="326" w:lineRule="atLeast"/>
        <w:ind w:left="0" w:right="0" w:firstLine="640"/>
        <w:jc w:val="left"/>
        <w:rPr>
          <w:rFonts w:hint="eastAsia" w:ascii="宋体" w:hAnsi="宋体" w:eastAsia="宋体" w:cs="宋体"/>
          <w:caps w:val="0"/>
          <w:color w:val="333333"/>
          <w:spacing w:val="0"/>
          <w:sz w:val="21"/>
          <w:szCs w:val="21"/>
        </w:rPr>
      </w:pPr>
      <w:r>
        <w:rPr>
          <w:rFonts w:ascii="仿宋" w:hAnsi="仿宋" w:eastAsia="仿宋" w:cs="仿宋"/>
          <w:caps w:val="0"/>
          <w:color w:val="333333"/>
          <w:spacing w:val="0"/>
          <w:kern w:val="0"/>
          <w:sz w:val="32"/>
          <w:szCs w:val="32"/>
          <w:shd w:val="clear" w:fill="FFFFFF"/>
          <w:lang w:val="en-US" w:eastAsia="zh-CN" w:bidi="ar"/>
        </w:rPr>
        <w:t>根据</w:t>
      </w:r>
      <w:r>
        <w:rPr>
          <w:rFonts w:hint="eastAsia" w:ascii="仿宋" w:hAnsi="仿宋" w:eastAsia="仿宋" w:cs="仿宋"/>
          <w:caps w:val="0"/>
          <w:color w:val="333333"/>
          <w:spacing w:val="0"/>
          <w:kern w:val="0"/>
          <w:sz w:val="32"/>
          <w:szCs w:val="32"/>
          <w:shd w:val="clear" w:fill="FFFFFF"/>
          <w:lang w:val="en-US" w:eastAsia="zh-CN" w:bidi="ar"/>
        </w:rPr>
        <w:t>省</w:t>
      </w:r>
      <w:r>
        <w:rPr>
          <w:rFonts w:ascii="仿宋" w:hAnsi="仿宋" w:eastAsia="仿宋" w:cs="仿宋"/>
          <w:caps w:val="0"/>
          <w:color w:val="333333"/>
          <w:spacing w:val="0"/>
          <w:kern w:val="0"/>
          <w:sz w:val="32"/>
          <w:szCs w:val="32"/>
          <w:shd w:val="clear" w:fill="FFFFFF"/>
          <w:lang w:val="en-US" w:eastAsia="zh-CN" w:bidi="ar"/>
        </w:rPr>
        <w:t>财政</w:t>
      </w:r>
      <w:r>
        <w:rPr>
          <w:rFonts w:hint="eastAsia" w:ascii="仿宋" w:hAnsi="仿宋" w:eastAsia="仿宋" w:cs="仿宋"/>
          <w:caps w:val="0"/>
          <w:color w:val="333333"/>
          <w:spacing w:val="0"/>
          <w:kern w:val="0"/>
          <w:sz w:val="32"/>
          <w:szCs w:val="32"/>
          <w:shd w:val="clear" w:fill="FFFFFF"/>
          <w:lang w:val="en-US" w:eastAsia="zh-CN" w:bidi="ar"/>
        </w:rPr>
        <w:t>厅</w:t>
      </w:r>
      <w:r>
        <w:rPr>
          <w:rFonts w:ascii="仿宋" w:hAnsi="仿宋" w:eastAsia="仿宋" w:cs="仿宋"/>
          <w:caps w:val="0"/>
          <w:color w:val="333333"/>
          <w:spacing w:val="0"/>
          <w:kern w:val="0"/>
          <w:sz w:val="32"/>
          <w:szCs w:val="32"/>
          <w:shd w:val="clear" w:fill="FFFFFF"/>
          <w:lang w:val="en-US" w:eastAsia="zh-CN" w:bidi="ar"/>
        </w:rPr>
        <w:t>《关于批复市直预算单位2016年省级部门预算的通知》（粤财预[2016]38号）有关规定，现将我院2016年部门预算及“三公”经费信息公开如下：</w:t>
      </w:r>
    </w:p>
    <w:p>
      <w:pPr>
        <w:pStyle w:val="2"/>
        <w:rPr>
          <w:rFonts w:hint="eastAsia"/>
        </w:rPr>
      </w:pPr>
      <w:r>
        <w:rPr>
          <w:lang w:val="en-US" w:eastAsia="zh-CN"/>
        </w:rPr>
        <w:t>第一部分：基本情况</w:t>
      </w:r>
    </w:p>
    <w:p>
      <w:pPr>
        <w:pStyle w:val="3"/>
        <w:rPr>
          <w:rFonts w:hint="eastAsia"/>
        </w:rPr>
      </w:pPr>
      <w:r>
        <w:rPr>
          <w:lang w:val="en-US" w:eastAsia="zh-CN"/>
        </w:rPr>
        <w:t>一、主要</w:t>
      </w:r>
      <w:r>
        <w:rPr>
          <w:rFonts w:hint="eastAsia"/>
          <w:lang w:val="en-US" w:eastAsia="zh-CN"/>
        </w:rPr>
        <w:t>职责</w:t>
      </w:r>
    </w:p>
    <w:p>
      <w:pPr>
        <w:keepNext w:val="0"/>
        <w:keepLines w:val="0"/>
        <w:widowControl/>
        <w:suppressLineNumbers w:val="0"/>
        <w:shd w:val="clear" w:fill="FFFFFF"/>
        <w:spacing w:before="0" w:beforeAutospacing="0" w:after="0" w:afterAutospacing="0" w:line="326" w:lineRule="atLeast"/>
        <w:ind w:left="0" w:right="0" w:firstLine="640"/>
        <w:jc w:val="left"/>
        <w:rPr>
          <w:rFonts w:hint="default" w:ascii="仿宋_GB2312" w:hAnsi="仿宋" w:eastAsia="仿宋_GB2312" w:cs="仿宋_GB2312"/>
          <w:caps w:val="0"/>
          <w:color w:val="333333"/>
          <w:spacing w:val="0"/>
          <w:kern w:val="0"/>
          <w:sz w:val="32"/>
          <w:szCs w:val="32"/>
          <w:shd w:val="clear" w:fill="FFFFFF"/>
          <w:lang w:val="en-US" w:eastAsia="zh-CN" w:bidi="ar"/>
        </w:rPr>
      </w:pPr>
      <w:r>
        <w:rPr>
          <w:rFonts w:hint="default" w:ascii="仿宋_GB2312" w:hAnsi="仿宋" w:eastAsia="仿宋_GB2312" w:cs="仿宋_GB2312"/>
          <w:caps w:val="0"/>
          <w:color w:val="333333"/>
          <w:spacing w:val="0"/>
          <w:kern w:val="0"/>
          <w:sz w:val="32"/>
          <w:szCs w:val="32"/>
          <w:shd w:val="clear" w:fill="FFFFFF"/>
          <w:lang w:val="en-US" w:eastAsia="zh-CN" w:bidi="ar"/>
        </w:rPr>
        <w:t>检察机关是国家法律监督机关，肩负着领导全市两级人民检察院的各项工作，接受上级检察院和市委的领导，对市人民代表大会及其常务委员会负责并报告工作，接受其监督；依法对重大刑事犯罪案件进行批准逮捕、决定逮捕、提起公诉和出庭支持公诉；依法查处国家工作人员贪污贿赂等职务犯罪和国家机关工作人员渎职侵权犯罪，以及国家机关工作人员利用职权实施的其他重大犯罪案件；依法对刑事诉讼、民事审判和行政诉讼实行法律监督；依法对执行机关执行刑罚的活动是否合法实行监督；对人民法院确有错误的一审判决、裁定，依法向上级人民法院提出抗诉，对下级人民法院已经发生法律效力、确有错误的判决和裁定，依法向市中级人民法院提出抗诉；对全市各县区人民检察院在行使检察权中作出的决定进行审查，纠正错误决定；受理单位和个人的报案、控告、申诉、举报以及犯罪嫌疑人的自首；开展职务犯罪个案预防、系统预防、重点工程项目专项预防、法制宣传和警示教育工作；负责全市检察机关队伍建设和思想政治工作和教育培训工作；组织开展全市检察机关纪检监察和宣传教育工作；办理上级检察机关和市人大交办的案件和其他事项；协助外省、市检察机关查办案件等工作职责，全力维护社会稳定，为我市经济社会科学发展发挥法律服务和法治保障作用。</w:t>
      </w:r>
    </w:p>
    <w:p>
      <w:pPr>
        <w:pStyle w:val="3"/>
        <w:rPr>
          <w:rFonts w:hint="eastAsia"/>
          <w:lang w:val="en-US" w:eastAsia="zh-CN"/>
        </w:rPr>
      </w:pPr>
      <w:bookmarkStart w:id="0" w:name="_Toc26236"/>
      <w:r>
        <w:rPr>
          <w:rFonts w:hint="eastAsia"/>
          <w:lang w:val="en-US" w:eastAsia="zh-CN"/>
        </w:rPr>
        <w:t>二、</w:t>
      </w:r>
      <w:bookmarkEnd w:id="0"/>
      <w:r>
        <w:rPr>
          <w:rFonts w:hint="eastAsia"/>
          <w:lang w:val="en-US" w:eastAsia="zh-CN"/>
        </w:rPr>
        <w:t>机构设置</w:t>
      </w:r>
    </w:p>
    <w:p>
      <w:pPr>
        <w:keepNext w:val="0"/>
        <w:keepLines w:val="0"/>
        <w:widowControl/>
        <w:suppressLineNumbers w:val="0"/>
        <w:spacing w:before="0" w:beforeAutospacing="1" w:afterAutospacing="1" w:line="30" w:lineRule="atLeast"/>
        <w:ind w:left="0" w:right="0" w:firstLine="640" w:firstLineChars="200"/>
        <w:jc w:val="left"/>
        <w:rPr>
          <w:rFonts w:hint="eastAsia" w:ascii="仿宋_GB2312" w:hAnsi="宋体" w:eastAsia="仿宋_GB2312" w:cs="宋体"/>
          <w:color w:val="333333"/>
          <w:kern w:val="0"/>
          <w:sz w:val="32"/>
          <w:szCs w:val="32"/>
          <w:lang w:val="en-US" w:eastAsia="zh-CN" w:bidi="ar"/>
        </w:rPr>
      </w:pPr>
      <w:r>
        <w:rPr>
          <w:rFonts w:hint="eastAsia" w:ascii="仿宋_GB2312" w:hAnsi="宋体" w:eastAsia="仿宋_GB2312" w:cs="宋体"/>
          <w:color w:val="333333"/>
          <w:kern w:val="0"/>
          <w:sz w:val="32"/>
          <w:szCs w:val="32"/>
          <w:lang w:val="en-US" w:eastAsia="zh-CN" w:bidi="ar"/>
        </w:rPr>
        <w:t>（一）我院属于省一级预算单位，预算组成单位只有1个,无下属机构，由省、市两级财政全额拨款。</w:t>
      </w:r>
    </w:p>
    <w:p>
      <w:pPr>
        <w:keepNext w:val="0"/>
        <w:keepLines w:val="0"/>
        <w:widowControl/>
        <w:suppressLineNumbers w:val="0"/>
        <w:spacing w:before="0" w:beforeAutospacing="1" w:afterAutospacing="1" w:line="30" w:lineRule="atLeast"/>
        <w:ind w:left="0" w:right="0" w:firstLine="640" w:firstLineChars="200"/>
        <w:jc w:val="left"/>
        <w:rPr>
          <w:rFonts w:hint="eastAsia" w:ascii="仿宋_GB2312" w:hAnsi="宋体" w:eastAsia="仿宋_GB2312" w:cs="宋体"/>
          <w:color w:val="333333"/>
          <w:kern w:val="0"/>
          <w:sz w:val="32"/>
          <w:szCs w:val="32"/>
          <w:lang w:val="en-US" w:eastAsia="zh-CN" w:bidi="ar"/>
        </w:rPr>
      </w:pPr>
      <w:r>
        <w:rPr>
          <w:rFonts w:hint="eastAsia" w:ascii="仿宋_GB2312" w:hAnsi="宋体" w:eastAsia="仿宋_GB2312" w:cs="宋体"/>
          <w:color w:val="333333"/>
          <w:kern w:val="0"/>
          <w:sz w:val="32"/>
          <w:szCs w:val="32"/>
          <w:lang w:val="en-US" w:eastAsia="zh-CN" w:bidi="ar"/>
        </w:rPr>
        <w:t>（二）河源市人民检察院设2个工作机构（分别为政治处、反贪局），15个内设机构（分别为</w:t>
      </w:r>
      <w:r>
        <w:rPr>
          <w:rFonts w:hint="default" w:ascii="仿宋_GB2312" w:hAnsi="宋体" w:eastAsia="仿宋_GB2312" w:cs="宋体"/>
          <w:color w:val="333333"/>
          <w:kern w:val="0"/>
          <w:sz w:val="32"/>
          <w:szCs w:val="32"/>
          <w:lang w:val="en-US" w:eastAsia="zh-CN" w:bidi="ar"/>
        </w:rPr>
        <w:t>办公室、侦查指挥中心、监察室、侦查监督科、公诉科、侦查科、反渎职侵权局、民事行政检察科、控告科、刑事申诉科、职务犯罪预防科、未成人检察工作办公室、监所检察科、驻监室、案件管理中心</w:t>
      </w:r>
      <w:r>
        <w:rPr>
          <w:rFonts w:hint="eastAsia" w:ascii="仿宋_GB2312" w:hAnsi="宋体" w:eastAsia="仿宋_GB2312" w:cs="宋体"/>
          <w:color w:val="333333"/>
          <w:kern w:val="0"/>
          <w:sz w:val="32"/>
          <w:szCs w:val="32"/>
          <w:lang w:val="en-US" w:eastAsia="zh-CN" w:bidi="ar"/>
        </w:rPr>
        <w:t>），以及1个直属行政单位（司法警察支队）。</w:t>
      </w:r>
    </w:p>
    <w:p>
      <w:pPr>
        <w:keepNext w:val="0"/>
        <w:keepLines w:val="0"/>
        <w:widowControl/>
        <w:suppressLineNumbers w:val="0"/>
        <w:spacing w:before="0" w:beforeAutospacing="1" w:afterAutospacing="1" w:line="30" w:lineRule="atLeast"/>
        <w:ind w:left="0" w:right="0" w:firstLine="640" w:firstLineChars="200"/>
        <w:jc w:val="left"/>
        <w:rPr>
          <w:rFonts w:hint="default" w:ascii="仿宋_GB2312" w:hAnsi="仿宋" w:eastAsia="仿宋_GB2312" w:cs="仿宋_GB2312"/>
          <w:caps w:val="0"/>
          <w:color w:val="333333"/>
          <w:spacing w:val="0"/>
          <w:kern w:val="0"/>
          <w:sz w:val="32"/>
          <w:szCs w:val="32"/>
          <w:shd w:val="clear" w:fill="FFFFFF"/>
          <w:lang w:val="en-US" w:eastAsia="zh-CN" w:bidi="ar"/>
        </w:rPr>
      </w:pPr>
      <w:r>
        <w:rPr>
          <w:rFonts w:hint="eastAsia" w:ascii="仿宋_GB2312" w:hAnsi="宋体" w:eastAsia="仿宋_GB2312" w:cs="宋体"/>
          <w:color w:val="333333"/>
          <w:kern w:val="0"/>
          <w:sz w:val="32"/>
          <w:szCs w:val="32"/>
          <w:lang w:val="en-US" w:eastAsia="zh-CN" w:bidi="ar"/>
        </w:rPr>
        <w:t>（三）我院人员构成情况：</w:t>
      </w:r>
      <w:r>
        <w:rPr>
          <w:rFonts w:hint="default" w:ascii="仿宋_GB2312" w:hAnsi="仿宋" w:eastAsia="仿宋_GB2312" w:cs="仿宋_GB2312"/>
          <w:caps w:val="0"/>
          <w:color w:val="333333"/>
          <w:spacing w:val="0"/>
          <w:kern w:val="0"/>
          <w:sz w:val="32"/>
          <w:szCs w:val="32"/>
          <w:shd w:val="clear" w:fill="FFFFFF"/>
          <w:lang w:val="en-US" w:eastAsia="zh-CN" w:bidi="ar"/>
        </w:rPr>
        <w:t>核定行政编制100名，工勤编制10名，合计110名，实有在编人数92名。</w:t>
      </w:r>
    </w:p>
    <w:p>
      <w:pPr>
        <w:pStyle w:val="2"/>
        <w:rPr>
          <w:rFonts w:hint="eastAsia"/>
          <w:lang w:val="en-US" w:eastAsia="zh-CN"/>
        </w:rPr>
      </w:pPr>
      <w:r>
        <w:rPr>
          <w:rFonts w:hint="eastAsia"/>
          <w:lang w:val="en-US" w:eastAsia="zh-CN"/>
        </w:rPr>
        <w:t>第二部分：2016年部门预算表</w:t>
      </w:r>
    </w:p>
    <w:p>
      <w:pPr>
        <w:keepNext w:val="0"/>
        <w:keepLines w:val="0"/>
        <w:widowControl/>
        <w:suppressLineNumbers w:val="0"/>
        <w:spacing w:before="0" w:beforeAutospacing="1" w:afterAutospacing="1" w:line="30" w:lineRule="atLeast"/>
        <w:ind w:left="0" w:right="0" w:firstLine="640" w:firstLineChars="200"/>
        <w:jc w:val="left"/>
        <w:rPr>
          <w:rFonts w:hint="eastAsia" w:ascii="仿宋_GB2312" w:hAnsi="宋体" w:eastAsia="仿宋_GB2312" w:cs="宋体"/>
          <w:color w:val="333333"/>
          <w:kern w:val="0"/>
          <w:sz w:val="32"/>
          <w:szCs w:val="32"/>
          <w:lang w:val="en-US" w:eastAsia="zh-CN" w:bidi="ar"/>
        </w:rPr>
      </w:pPr>
      <w:r>
        <w:rPr>
          <w:rFonts w:hint="eastAsia" w:ascii="仿宋_GB2312" w:hAnsi="宋体" w:eastAsia="仿宋_GB2312" w:cs="宋体"/>
          <w:color w:val="333333"/>
          <w:kern w:val="0"/>
          <w:sz w:val="32"/>
          <w:szCs w:val="32"/>
          <w:lang w:val="en-US" w:eastAsia="zh-CN" w:bidi="ar"/>
        </w:rPr>
        <w:t>详见附表</w:t>
      </w:r>
    </w:p>
    <w:p>
      <w:pPr>
        <w:pStyle w:val="2"/>
        <w:rPr>
          <w:rFonts w:hint="eastAsia"/>
        </w:rPr>
      </w:pPr>
      <w:r>
        <w:rPr>
          <w:rFonts w:hint="default"/>
          <w:lang w:val="en-US" w:eastAsia="zh-CN"/>
        </w:rPr>
        <w:t>第</w:t>
      </w:r>
      <w:r>
        <w:rPr>
          <w:rFonts w:hint="eastAsia"/>
          <w:lang w:val="en-US" w:eastAsia="zh-CN"/>
        </w:rPr>
        <w:t>三</w:t>
      </w:r>
      <w:r>
        <w:rPr>
          <w:rFonts w:hint="default"/>
          <w:lang w:val="en-US" w:eastAsia="zh-CN"/>
        </w:rPr>
        <w:t>部分：2016年部门预算安排情况说明</w:t>
      </w:r>
    </w:p>
    <w:p>
      <w:pPr>
        <w:pStyle w:val="3"/>
        <w:rPr>
          <w:rFonts w:hint="eastAsia"/>
        </w:rPr>
      </w:pPr>
      <w:r>
        <w:rPr>
          <w:rFonts w:hint="eastAsia"/>
          <w:lang w:val="en-US" w:eastAsia="zh-CN"/>
        </w:rPr>
        <w:t>一、部门预算收支增减变化情况</w:t>
      </w:r>
    </w:p>
    <w:p>
      <w:pPr>
        <w:keepNext w:val="0"/>
        <w:keepLines w:val="0"/>
        <w:widowControl/>
        <w:suppressLineNumbers w:val="0"/>
        <w:spacing w:before="0" w:beforeAutospacing="1" w:afterAutospacing="1" w:line="30" w:lineRule="atLeast"/>
        <w:ind w:left="0" w:right="0" w:firstLine="640" w:firstLineChars="200"/>
        <w:jc w:val="left"/>
        <w:rPr>
          <w:rFonts w:hint="default" w:ascii="仿宋_GB2312" w:hAnsi="宋体" w:eastAsia="仿宋_GB2312" w:cs="宋体"/>
          <w:color w:val="333333"/>
          <w:kern w:val="0"/>
          <w:sz w:val="32"/>
          <w:szCs w:val="32"/>
          <w:lang w:val="en-US" w:eastAsia="zh-CN" w:bidi="ar"/>
        </w:rPr>
      </w:pPr>
      <w:r>
        <w:rPr>
          <w:rFonts w:hint="default" w:ascii="仿宋_GB2312" w:hAnsi="仿宋" w:eastAsia="仿宋_GB2312" w:cs="仿宋_GB2312"/>
          <w:caps w:val="0"/>
          <w:color w:val="333333"/>
          <w:spacing w:val="0"/>
          <w:kern w:val="0"/>
          <w:sz w:val="32"/>
          <w:szCs w:val="32"/>
          <w:shd w:val="clear" w:fill="FFFFFF"/>
          <w:lang w:val="en-US" w:eastAsia="zh-CN" w:bidi="ar"/>
        </w:rPr>
        <w:t>2016年年初部门预算收入2159万元</w:t>
      </w:r>
      <w:r>
        <w:rPr>
          <w:rFonts w:hint="default" w:ascii="仿宋_GB2312" w:hAnsi="宋体" w:eastAsia="仿宋_GB2312" w:cs="宋体"/>
          <w:color w:val="333333"/>
          <w:kern w:val="0"/>
          <w:sz w:val="32"/>
          <w:szCs w:val="32"/>
          <w:lang w:val="en-US" w:eastAsia="zh-CN" w:bidi="ar"/>
        </w:rPr>
        <w:t>，</w:t>
      </w:r>
      <w:r>
        <w:rPr>
          <w:rFonts w:hint="eastAsia" w:ascii="仿宋_GB2312" w:hAnsi="宋体" w:eastAsia="仿宋_GB2312" w:cs="宋体"/>
          <w:color w:val="333333"/>
          <w:kern w:val="0"/>
          <w:sz w:val="32"/>
          <w:szCs w:val="32"/>
          <w:lang w:val="en-US" w:eastAsia="zh-CN" w:bidi="ar"/>
        </w:rPr>
        <w:t>较去年增加了427.11万元，</w:t>
      </w:r>
      <w:r>
        <w:rPr>
          <w:rFonts w:hint="default" w:ascii="仿宋_GB2312" w:hAnsi="宋体" w:eastAsia="仿宋_GB2312" w:cs="宋体"/>
          <w:color w:val="333333"/>
          <w:kern w:val="0"/>
          <w:sz w:val="32"/>
          <w:szCs w:val="32"/>
          <w:lang w:val="en-US" w:eastAsia="zh-CN" w:bidi="ar"/>
        </w:rPr>
        <w:t>增加比率为</w:t>
      </w:r>
      <w:r>
        <w:rPr>
          <w:rFonts w:hint="eastAsia" w:ascii="仿宋_GB2312" w:hAnsi="宋体" w:eastAsia="仿宋_GB2312" w:cs="宋体"/>
          <w:color w:val="333333"/>
          <w:kern w:val="0"/>
          <w:sz w:val="32"/>
          <w:szCs w:val="32"/>
          <w:lang w:val="en-US" w:eastAsia="zh-CN" w:bidi="ar"/>
        </w:rPr>
        <w:t>24.66%</w:t>
      </w:r>
      <w:r>
        <w:rPr>
          <w:rFonts w:hint="default" w:ascii="仿宋_GB2312" w:hAnsi="宋体" w:eastAsia="仿宋_GB2312" w:cs="宋体"/>
          <w:color w:val="333333"/>
          <w:kern w:val="0"/>
          <w:sz w:val="32"/>
          <w:szCs w:val="32"/>
          <w:lang w:val="en-US" w:eastAsia="zh-CN" w:bidi="ar"/>
        </w:rPr>
        <w:t>。增加原因主要为司法</w:t>
      </w:r>
      <w:r>
        <w:rPr>
          <w:rFonts w:hint="eastAsia" w:ascii="仿宋_GB2312" w:hAnsi="宋体" w:eastAsia="仿宋_GB2312" w:cs="宋体"/>
          <w:color w:val="333333"/>
          <w:kern w:val="0"/>
          <w:sz w:val="32"/>
          <w:szCs w:val="32"/>
          <w:lang w:val="en-US" w:eastAsia="zh-CN" w:bidi="ar"/>
        </w:rPr>
        <w:t>改革后，办案经费和人员经费有所增加</w:t>
      </w:r>
      <w:r>
        <w:rPr>
          <w:rFonts w:hint="default" w:ascii="仿宋_GB2312" w:hAnsi="宋体" w:eastAsia="仿宋_GB2312" w:cs="宋体"/>
          <w:color w:val="333333"/>
          <w:kern w:val="0"/>
          <w:sz w:val="32"/>
          <w:szCs w:val="32"/>
          <w:lang w:val="en-US" w:eastAsia="zh-CN" w:bidi="ar"/>
        </w:rPr>
        <w:t>。</w:t>
      </w:r>
      <w:r>
        <w:rPr>
          <w:rFonts w:hint="eastAsia" w:ascii="仿宋_GB2312" w:hAnsi="宋体" w:eastAsia="仿宋_GB2312" w:cs="宋体"/>
          <w:color w:val="333333"/>
          <w:kern w:val="0"/>
          <w:sz w:val="32"/>
          <w:szCs w:val="32"/>
          <w:lang w:val="en-US" w:eastAsia="zh-CN" w:bidi="ar"/>
        </w:rPr>
        <w:t>支出预算2159万元，较去年增加了427.11万元，</w:t>
      </w:r>
      <w:r>
        <w:rPr>
          <w:rFonts w:hint="default" w:ascii="仿宋_GB2312" w:hAnsi="宋体" w:eastAsia="仿宋_GB2312" w:cs="宋体"/>
          <w:color w:val="333333"/>
          <w:kern w:val="0"/>
          <w:sz w:val="32"/>
          <w:szCs w:val="32"/>
          <w:lang w:val="en-US" w:eastAsia="zh-CN" w:bidi="ar"/>
        </w:rPr>
        <w:t>增加比率为</w:t>
      </w:r>
      <w:r>
        <w:rPr>
          <w:rFonts w:hint="eastAsia" w:ascii="仿宋_GB2312" w:hAnsi="宋体" w:eastAsia="仿宋_GB2312" w:cs="宋体"/>
          <w:color w:val="333333"/>
          <w:kern w:val="0"/>
          <w:sz w:val="32"/>
          <w:szCs w:val="32"/>
          <w:lang w:val="en-US" w:eastAsia="zh-CN" w:bidi="ar"/>
        </w:rPr>
        <w:t>24.66%</w:t>
      </w:r>
      <w:r>
        <w:rPr>
          <w:rFonts w:hint="default" w:ascii="仿宋_GB2312" w:hAnsi="宋体" w:eastAsia="仿宋_GB2312" w:cs="宋体"/>
          <w:color w:val="333333"/>
          <w:kern w:val="0"/>
          <w:sz w:val="32"/>
          <w:szCs w:val="32"/>
          <w:lang w:val="en-US" w:eastAsia="zh-CN" w:bidi="ar"/>
        </w:rPr>
        <w:t>。增加原因主要为司法体制改革后，</w:t>
      </w:r>
      <w:r>
        <w:rPr>
          <w:rFonts w:hint="eastAsia" w:ascii="仿宋_GB2312" w:hAnsi="宋体" w:eastAsia="仿宋_GB2312" w:cs="宋体"/>
          <w:color w:val="333333"/>
          <w:kern w:val="0"/>
          <w:sz w:val="32"/>
          <w:szCs w:val="32"/>
          <w:lang w:val="en-US" w:eastAsia="zh-CN" w:bidi="ar"/>
        </w:rPr>
        <w:t>办案数量增加，项目开支相应增加；</w:t>
      </w:r>
      <w:r>
        <w:rPr>
          <w:rFonts w:hint="eastAsia" w:ascii="仿宋" w:hAnsi="仿宋" w:eastAsia="仿宋" w:cs="宋体"/>
          <w:color w:val="555555"/>
          <w:kern w:val="0"/>
          <w:sz w:val="32"/>
          <w:szCs w:val="32"/>
          <w:shd w:val="clear" w:fill="FFFFFF"/>
          <w:lang w:val="en-US" w:eastAsia="zh-CN" w:bidi="ar"/>
        </w:rPr>
        <w:t>按照中央、省级相关文件精神，增加在编在职人员基本工资以及按规定对员额内法官、检察官执行新的工资制度改革，因此导致基本支出预算增加。</w:t>
      </w:r>
    </w:p>
    <w:p>
      <w:pPr>
        <w:pStyle w:val="3"/>
        <w:rPr>
          <w:rFonts w:hint="eastAsia"/>
        </w:rPr>
      </w:pPr>
      <w:r>
        <w:rPr>
          <w:rFonts w:hint="eastAsia"/>
          <w:lang w:val="en-US" w:eastAsia="zh-CN"/>
        </w:rPr>
        <w:t>二、“三公”经费安排情况说明</w:t>
      </w:r>
    </w:p>
    <w:p>
      <w:pPr>
        <w:keepNext w:val="0"/>
        <w:keepLines w:val="0"/>
        <w:widowControl/>
        <w:numPr>
          <w:ilvl w:val="0"/>
          <w:numId w:val="0"/>
        </w:numPr>
        <w:suppressLineNumbers w:val="0"/>
        <w:spacing w:before="0" w:beforeAutospacing="1" w:afterAutospacing="1" w:line="30" w:lineRule="atLeast"/>
        <w:ind w:right="0" w:rightChars="0" w:firstLine="640" w:firstLineChars="200"/>
        <w:jc w:val="left"/>
        <w:rPr>
          <w:rFonts w:hint="default" w:ascii="仿宋_GB2312" w:hAnsi="宋体" w:eastAsia="仿宋_GB2312" w:cs="宋体"/>
          <w:color w:val="333333"/>
          <w:kern w:val="0"/>
          <w:sz w:val="32"/>
          <w:szCs w:val="32"/>
          <w:lang w:val="en-US" w:eastAsia="zh-CN" w:bidi="ar"/>
        </w:rPr>
      </w:pPr>
      <w:r>
        <w:rPr>
          <w:rFonts w:hint="eastAsia" w:ascii="仿宋_GB2312" w:hAnsi="宋体" w:eastAsia="仿宋_GB2312" w:cs="宋体"/>
          <w:color w:val="333333"/>
          <w:kern w:val="0"/>
          <w:sz w:val="32"/>
          <w:szCs w:val="32"/>
          <w:lang w:val="en-US" w:eastAsia="zh-CN" w:bidi="ar"/>
        </w:rPr>
        <w:t>2016年</w:t>
      </w:r>
      <w:r>
        <w:rPr>
          <w:rFonts w:hint="default" w:ascii="仿宋_GB2312" w:hAnsi="宋体" w:eastAsia="仿宋_GB2312" w:cs="宋体"/>
          <w:color w:val="333333"/>
          <w:kern w:val="0"/>
          <w:sz w:val="32"/>
          <w:szCs w:val="32"/>
          <w:lang w:val="en-US" w:eastAsia="zh-CN" w:bidi="ar"/>
        </w:rPr>
        <w:t>“三公”经费</w:t>
      </w:r>
      <w:r>
        <w:rPr>
          <w:rFonts w:hint="eastAsia" w:ascii="仿宋_GB2312" w:hAnsi="宋体" w:eastAsia="仿宋_GB2312" w:cs="宋体"/>
          <w:color w:val="333333"/>
          <w:kern w:val="0"/>
          <w:sz w:val="32"/>
          <w:szCs w:val="32"/>
          <w:lang w:val="en-US" w:eastAsia="zh-CN" w:bidi="ar"/>
        </w:rPr>
        <w:t>预算安排</w:t>
      </w:r>
      <w:r>
        <w:rPr>
          <w:rFonts w:hint="default" w:ascii="仿宋_GB2312" w:hAnsi="宋体" w:eastAsia="仿宋_GB2312" w:cs="宋体"/>
          <w:color w:val="333333"/>
          <w:kern w:val="0"/>
          <w:sz w:val="32"/>
          <w:szCs w:val="32"/>
          <w:lang w:val="en-US" w:eastAsia="zh-CN" w:bidi="ar"/>
        </w:rPr>
        <w:t>6</w:t>
      </w:r>
      <w:r>
        <w:rPr>
          <w:rFonts w:hint="eastAsia" w:ascii="仿宋_GB2312" w:hAnsi="宋体" w:eastAsia="仿宋_GB2312" w:cs="宋体"/>
          <w:color w:val="333333"/>
          <w:kern w:val="0"/>
          <w:sz w:val="32"/>
          <w:szCs w:val="32"/>
          <w:lang w:val="en-US" w:eastAsia="zh-CN" w:bidi="ar"/>
        </w:rPr>
        <w:t>5.6</w:t>
      </w:r>
      <w:r>
        <w:rPr>
          <w:rFonts w:hint="default" w:ascii="仿宋_GB2312" w:hAnsi="宋体" w:eastAsia="仿宋_GB2312" w:cs="宋体"/>
          <w:color w:val="333333"/>
          <w:kern w:val="0"/>
          <w:sz w:val="32"/>
          <w:szCs w:val="32"/>
          <w:lang w:val="en-US" w:eastAsia="zh-CN" w:bidi="ar"/>
        </w:rPr>
        <w:t>万元，</w:t>
      </w:r>
      <w:r>
        <w:rPr>
          <w:rFonts w:hint="eastAsia" w:ascii="仿宋_GB2312" w:hAnsi="宋体" w:eastAsia="仿宋_GB2312" w:cs="宋体"/>
          <w:color w:val="333333"/>
          <w:kern w:val="0"/>
          <w:sz w:val="32"/>
          <w:szCs w:val="32"/>
          <w:lang w:val="en-US" w:eastAsia="zh-CN" w:bidi="ar"/>
        </w:rPr>
        <w:t>比去年减少了40万元，减少了37.88%</w:t>
      </w:r>
      <w:r>
        <w:rPr>
          <w:rFonts w:hint="default" w:ascii="仿宋_GB2312" w:hAnsi="宋体" w:eastAsia="仿宋_GB2312" w:cs="宋体"/>
          <w:color w:val="333333"/>
          <w:kern w:val="0"/>
          <w:sz w:val="32"/>
          <w:szCs w:val="32"/>
          <w:lang w:val="en-US" w:eastAsia="zh-CN" w:bidi="ar"/>
        </w:rPr>
        <w:t>。其中</w:t>
      </w:r>
      <w:r>
        <w:rPr>
          <w:rFonts w:hint="eastAsia" w:ascii="仿宋_GB2312" w:hAnsi="宋体" w:eastAsia="仿宋_GB2312" w:cs="宋体"/>
          <w:color w:val="333333"/>
          <w:kern w:val="0"/>
          <w:sz w:val="32"/>
          <w:szCs w:val="32"/>
          <w:lang w:val="en-US" w:eastAsia="zh-CN" w:bidi="ar"/>
        </w:rPr>
        <w:t>：</w:t>
      </w:r>
      <w:r>
        <w:rPr>
          <w:rFonts w:hint="default" w:ascii="仿宋_GB2312" w:hAnsi="宋体" w:eastAsia="仿宋_GB2312" w:cs="宋体"/>
          <w:b/>
          <w:bCs/>
          <w:color w:val="333333"/>
          <w:kern w:val="0"/>
          <w:sz w:val="32"/>
          <w:szCs w:val="32"/>
          <w:lang w:val="en-US" w:eastAsia="zh-CN" w:bidi="ar"/>
        </w:rPr>
        <w:t>因公出国（境）支出</w:t>
      </w:r>
      <w:r>
        <w:rPr>
          <w:rFonts w:hint="eastAsia" w:ascii="仿宋_GB2312" w:hAnsi="宋体" w:eastAsia="仿宋_GB2312" w:cs="宋体"/>
          <w:b w:val="0"/>
          <w:bCs w:val="0"/>
          <w:color w:val="333333"/>
          <w:kern w:val="0"/>
          <w:sz w:val="32"/>
          <w:szCs w:val="32"/>
          <w:lang w:val="en-US" w:eastAsia="zh-CN" w:bidi="ar"/>
        </w:rPr>
        <w:t>预算</w:t>
      </w:r>
      <w:r>
        <w:rPr>
          <w:rFonts w:hint="default" w:ascii="仿宋_GB2312" w:hAnsi="宋体" w:eastAsia="仿宋_GB2312" w:cs="宋体"/>
          <w:color w:val="333333"/>
          <w:kern w:val="0"/>
          <w:sz w:val="32"/>
          <w:szCs w:val="32"/>
          <w:lang w:val="en-US" w:eastAsia="zh-CN" w:bidi="ar"/>
        </w:rPr>
        <w:t>10万元</w:t>
      </w:r>
      <w:r>
        <w:rPr>
          <w:rFonts w:hint="eastAsia" w:ascii="仿宋_GB2312" w:hAnsi="宋体" w:eastAsia="仿宋_GB2312" w:cs="宋体"/>
          <w:color w:val="333333"/>
          <w:kern w:val="0"/>
          <w:sz w:val="32"/>
          <w:szCs w:val="32"/>
          <w:lang w:val="en-US" w:eastAsia="zh-CN" w:bidi="ar"/>
        </w:rPr>
        <w:t>，较去年增加了10万元，主要是省检察院拟安排相关检察官培训。</w:t>
      </w:r>
      <w:r>
        <w:rPr>
          <w:rFonts w:hint="default" w:ascii="仿宋_GB2312" w:hAnsi="宋体" w:eastAsia="仿宋_GB2312" w:cs="宋体"/>
          <w:b/>
          <w:bCs/>
          <w:color w:val="333333"/>
          <w:kern w:val="0"/>
          <w:sz w:val="32"/>
          <w:szCs w:val="32"/>
          <w:lang w:val="en-US" w:eastAsia="zh-CN" w:bidi="ar"/>
        </w:rPr>
        <w:t>公务接待费</w:t>
      </w:r>
      <w:r>
        <w:rPr>
          <w:rFonts w:hint="default" w:ascii="仿宋_GB2312" w:hAnsi="宋体" w:eastAsia="仿宋_GB2312" w:cs="宋体"/>
          <w:color w:val="333333"/>
          <w:kern w:val="0"/>
          <w:sz w:val="32"/>
          <w:szCs w:val="32"/>
          <w:lang w:val="en-US" w:eastAsia="zh-CN" w:bidi="ar"/>
        </w:rPr>
        <w:t>5.6万元，与去年预算持平。</w:t>
      </w:r>
      <w:r>
        <w:rPr>
          <w:rFonts w:hint="default" w:ascii="仿宋_GB2312" w:hAnsi="宋体" w:eastAsia="仿宋_GB2312" w:cs="宋体"/>
          <w:b/>
          <w:bCs/>
          <w:color w:val="333333"/>
          <w:kern w:val="0"/>
          <w:sz w:val="32"/>
          <w:szCs w:val="32"/>
          <w:lang w:val="en-US" w:eastAsia="zh-CN" w:bidi="ar"/>
        </w:rPr>
        <w:t>公务用车运行费</w:t>
      </w:r>
      <w:r>
        <w:rPr>
          <w:rFonts w:hint="eastAsia" w:ascii="仿宋_GB2312" w:hAnsi="宋体" w:eastAsia="仿宋_GB2312" w:cs="宋体"/>
          <w:b/>
          <w:bCs/>
          <w:color w:val="333333"/>
          <w:kern w:val="0"/>
          <w:sz w:val="32"/>
          <w:szCs w:val="32"/>
          <w:lang w:val="en-US" w:eastAsia="zh-CN" w:bidi="ar"/>
        </w:rPr>
        <w:t>50</w:t>
      </w:r>
      <w:r>
        <w:rPr>
          <w:rFonts w:hint="default" w:ascii="仿宋_GB2312" w:hAnsi="宋体" w:eastAsia="仿宋_GB2312" w:cs="宋体"/>
          <w:color w:val="333333"/>
          <w:kern w:val="0"/>
          <w:sz w:val="32"/>
          <w:szCs w:val="32"/>
          <w:lang w:val="en-US" w:eastAsia="zh-CN" w:bidi="ar"/>
        </w:rPr>
        <w:t>万元，</w:t>
      </w:r>
      <w:r>
        <w:rPr>
          <w:rFonts w:hint="eastAsia" w:ascii="仿宋_GB2312" w:hAnsi="宋体" w:eastAsia="仿宋_GB2312" w:cs="宋体"/>
          <w:color w:val="333333"/>
          <w:kern w:val="0"/>
          <w:sz w:val="32"/>
          <w:szCs w:val="32"/>
          <w:lang w:val="en-US" w:eastAsia="zh-CN" w:bidi="ar"/>
        </w:rPr>
        <w:t>较去年减少了50万元，下降了50%，</w:t>
      </w:r>
      <w:r>
        <w:rPr>
          <w:rFonts w:hint="default" w:ascii="仿宋_GB2312" w:hAnsi="宋体" w:eastAsia="仿宋_GB2312" w:cs="宋体"/>
          <w:color w:val="333333"/>
          <w:kern w:val="0"/>
          <w:sz w:val="32"/>
          <w:szCs w:val="32"/>
          <w:lang w:val="en-US" w:eastAsia="zh-CN" w:bidi="ar"/>
        </w:rPr>
        <w:t>主要</w:t>
      </w:r>
      <w:r>
        <w:rPr>
          <w:rFonts w:hint="eastAsia" w:ascii="仿宋_GB2312" w:hAnsi="宋体" w:eastAsia="仿宋_GB2312" w:cs="宋体"/>
          <w:color w:val="333333"/>
          <w:kern w:val="0"/>
          <w:sz w:val="32"/>
          <w:szCs w:val="32"/>
          <w:lang w:val="en-US" w:eastAsia="zh-CN" w:bidi="ar"/>
        </w:rPr>
        <w:t>原因</w:t>
      </w:r>
      <w:r>
        <w:rPr>
          <w:rFonts w:hint="default" w:ascii="仿宋_GB2312" w:hAnsi="宋体" w:eastAsia="仿宋_GB2312" w:cs="宋体"/>
          <w:color w:val="333333"/>
          <w:kern w:val="0"/>
          <w:sz w:val="32"/>
          <w:szCs w:val="32"/>
          <w:lang w:val="en-US" w:eastAsia="zh-CN" w:bidi="ar"/>
        </w:rPr>
        <w:t>是车改，我院车辆减少，费用相应减少。</w:t>
      </w:r>
      <w:bookmarkStart w:id="1" w:name="_Toc2432"/>
    </w:p>
    <w:p>
      <w:pPr>
        <w:keepNext w:val="0"/>
        <w:keepLines w:val="0"/>
        <w:widowControl/>
        <w:numPr>
          <w:ilvl w:val="0"/>
          <w:numId w:val="0"/>
        </w:numPr>
        <w:suppressLineNumbers w:val="0"/>
        <w:spacing w:before="0" w:beforeAutospacing="1" w:afterAutospacing="1" w:line="30" w:lineRule="atLeast"/>
        <w:ind w:right="0" w:rightChars="0" w:firstLine="643" w:firstLineChars="200"/>
        <w:jc w:val="left"/>
        <w:rPr>
          <w:rFonts w:hint="eastAsia" w:ascii="Arial" w:hAnsi="Arial" w:eastAsia="黑体" w:cstheme="minorBidi"/>
          <w:b/>
          <w:kern w:val="2"/>
          <w:sz w:val="32"/>
          <w:szCs w:val="22"/>
          <w:lang w:val="en-US" w:eastAsia="zh-CN" w:bidi="ar-SA"/>
        </w:rPr>
      </w:pPr>
      <w:r>
        <w:rPr>
          <w:rFonts w:hint="eastAsia" w:ascii="Arial" w:hAnsi="Arial" w:eastAsia="黑体" w:cstheme="minorBidi"/>
          <w:b/>
          <w:kern w:val="2"/>
          <w:sz w:val="32"/>
          <w:szCs w:val="22"/>
          <w:lang w:val="en-US" w:eastAsia="zh-CN" w:bidi="ar-SA"/>
        </w:rPr>
        <w:t>三</w:t>
      </w:r>
      <w:r>
        <w:rPr>
          <w:rFonts w:hint="default" w:ascii="Arial" w:hAnsi="Arial" w:eastAsia="黑体" w:cstheme="minorBidi"/>
          <w:b/>
          <w:kern w:val="2"/>
          <w:sz w:val="32"/>
          <w:szCs w:val="22"/>
          <w:lang w:val="en-US" w:eastAsia="zh-CN" w:bidi="ar-SA"/>
        </w:rPr>
        <w:t>、</w:t>
      </w:r>
      <w:r>
        <w:rPr>
          <w:rFonts w:hint="eastAsia" w:ascii="Arial" w:hAnsi="Arial" w:eastAsia="黑体" w:cstheme="minorBidi"/>
          <w:b/>
          <w:kern w:val="2"/>
          <w:sz w:val="32"/>
          <w:szCs w:val="22"/>
          <w:lang w:val="en-US" w:eastAsia="zh-CN" w:bidi="ar-SA"/>
        </w:rPr>
        <w:t>机关运行费用说明</w:t>
      </w:r>
      <w:bookmarkEnd w:id="1"/>
    </w:p>
    <w:p>
      <w:pPr>
        <w:keepNext w:val="0"/>
        <w:keepLines w:val="0"/>
        <w:widowControl/>
        <w:suppressLineNumbers w:val="0"/>
        <w:shd w:val="clear" w:fill="FFFFFF"/>
        <w:spacing w:before="0" w:beforeAutospacing="0" w:after="0" w:afterAutospacing="0" w:line="480" w:lineRule="auto"/>
        <w:ind w:left="0" w:right="0" w:firstLine="592"/>
        <w:jc w:val="left"/>
        <w:rPr>
          <w:rFonts w:hint="default" w:ascii="仿宋_GB2312" w:hAnsi="宋体" w:eastAsia="仿宋_GB2312" w:cs="宋体"/>
          <w:color w:val="333333"/>
          <w:kern w:val="0"/>
          <w:sz w:val="32"/>
          <w:szCs w:val="32"/>
          <w:lang w:val="en-US" w:eastAsia="zh-CN" w:bidi="ar"/>
        </w:rPr>
      </w:pPr>
      <w:r>
        <w:rPr>
          <w:rFonts w:ascii="仿宋" w:hAnsi="仿宋" w:eastAsia="仿宋" w:cs="宋体"/>
          <w:color w:val="555555"/>
          <w:kern w:val="0"/>
          <w:sz w:val="32"/>
          <w:szCs w:val="32"/>
          <w:shd w:val="clear" w:fill="FFFFFF"/>
          <w:lang w:val="en-US" w:eastAsia="zh-CN" w:bidi="ar"/>
        </w:rPr>
        <w:t>201</w:t>
      </w:r>
      <w:r>
        <w:rPr>
          <w:rFonts w:hint="eastAsia" w:ascii="仿宋" w:hAnsi="仿宋" w:eastAsia="仿宋" w:cs="宋体"/>
          <w:color w:val="555555"/>
          <w:kern w:val="0"/>
          <w:sz w:val="32"/>
          <w:szCs w:val="32"/>
          <w:shd w:val="clear" w:fill="FFFFFF"/>
          <w:lang w:val="en-US" w:eastAsia="zh-CN" w:bidi="ar"/>
        </w:rPr>
        <w:t>6年机关运行预算经费260万元，比上年增加万元，增长%。其中：办公费万元，印刷费万元，邮电费万元，咨询费万元，因公出国（境）费用万元，手续费万元，水费万元，电费万元，公务接待费万元，物业管理费万元，维修（护）费万元，劳务费万元。机关运行经费较上年小幅提高，原因为部分物价上涨，机关运行成本增加，因此适当增加该部分预算。</w:t>
      </w:r>
    </w:p>
    <w:p>
      <w:pPr>
        <w:pStyle w:val="3"/>
        <w:rPr>
          <w:rFonts w:hint="eastAsia"/>
          <w:lang w:val="en-US" w:eastAsia="zh-CN"/>
        </w:rPr>
      </w:pPr>
      <w:bookmarkStart w:id="2" w:name="_Toc1849"/>
      <w:r>
        <w:rPr>
          <w:rFonts w:hint="eastAsia"/>
          <w:lang w:val="en-US" w:eastAsia="zh-CN"/>
        </w:rPr>
        <w:t>四、政府采购情况说明</w:t>
      </w:r>
      <w:bookmarkEnd w:id="2"/>
    </w:p>
    <w:p>
      <w:pPr>
        <w:keepNext w:val="0"/>
        <w:keepLines w:val="0"/>
        <w:widowControl/>
        <w:numPr>
          <w:ilvl w:val="0"/>
          <w:numId w:val="0"/>
        </w:numPr>
        <w:suppressLineNumbers w:val="0"/>
        <w:spacing w:before="0" w:beforeAutospacing="1" w:afterAutospacing="1" w:line="30" w:lineRule="atLeast"/>
        <w:ind w:right="0" w:rightChars="0" w:firstLine="640" w:firstLineChars="200"/>
        <w:jc w:val="left"/>
        <w:rPr>
          <w:rFonts w:hint="eastAsia" w:ascii="仿宋_GB2312" w:hAnsi="宋体" w:eastAsia="仿宋_GB2312" w:cs="宋体"/>
          <w:color w:val="333333"/>
          <w:kern w:val="0"/>
          <w:sz w:val="32"/>
          <w:szCs w:val="32"/>
          <w:lang w:val="en-US" w:eastAsia="zh-CN" w:bidi="ar"/>
        </w:rPr>
      </w:pPr>
      <w:r>
        <w:rPr>
          <w:rFonts w:hint="default" w:ascii="仿宋" w:hAnsi="仿宋" w:eastAsia="仿宋" w:cs="宋体"/>
          <w:color w:val="555555"/>
          <w:kern w:val="0"/>
          <w:sz w:val="32"/>
          <w:szCs w:val="32"/>
          <w:shd w:val="clear" w:fill="FFFFFF"/>
          <w:lang w:val="en-US" w:eastAsia="zh-CN" w:bidi="ar"/>
        </w:rPr>
        <w:t>201</w:t>
      </w:r>
      <w:r>
        <w:rPr>
          <w:rFonts w:hint="eastAsia" w:ascii="仿宋" w:hAnsi="仿宋" w:eastAsia="仿宋" w:cs="宋体"/>
          <w:color w:val="555555"/>
          <w:kern w:val="0"/>
          <w:sz w:val="32"/>
          <w:szCs w:val="32"/>
          <w:shd w:val="clear" w:fill="FFFFFF"/>
          <w:lang w:val="en-US" w:eastAsia="zh-CN" w:bidi="ar"/>
        </w:rPr>
        <w:t>6</w:t>
      </w:r>
      <w:r>
        <w:rPr>
          <w:rFonts w:hint="default" w:ascii="仿宋" w:hAnsi="仿宋" w:eastAsia="仿宋" w:cs="宋体"/>
          <w:color w:val="555555"/>
          <w:kern w:val="0"/>
          <w:sz w:val="32"/>
          <w:szCs w:val="32"/>
          <w:shd w:val="clear" w:fill="FFFFFF"/>
          <w:lang w:val="en-US" w:eastAsia="zh-CN" w:bidi="ar"/>
        </w:rPr>
        <w:t>年我院政府采购预算总计0万元</w:t>
      </w:r>
      <w:r>
        <w:rPr>
          <w:rFonts w:hint="eastAsia" w:ascii="仿宋" w:hAnsi="仿宋" w:eastAsia="仿宋" w:cs="宋体"/>
          <w:color w:val="555555"/>
          <w:kern w:val="0"/>
          <w:sz w:val="32"/>
          <w:szCs w:val="32"/>
          <w:shd w:val="clear" w:fill="FFFFFF"/>
          <w:lang w:val="en-US" w:eastAsia="zh-CN" w:bidi="ar"/>
        </w:rPr>
        <w:t>，其中货物类采购0万元，工程类采购0万元，河源市人民检察院2016年没有安排</w:t>
      </w:r>
      <w:r>
        <w:rPr>
          <w:rFonts w:hint="default" w:ascii="仿宋" w:hAnsi="仿宋" w:eastAsia="仿宋" w:cs="宋体"/>
          <w:color w:val="555555"/>
          <w:kern w:val="0"/>
          <w:sz w:val="32"/>
          <w:szCs w:val="32"/>
          <w:shd w:val="clear" w:fill="FFFFFF"/>
          <w:lang w:val="en-US" w:eastAsia="zh-CN" w:bidi="ar"/>
        </w:rPr>
        <w:t>政府采购预算</w:t>
      </w:r>
      <w:r>
        <w:rPr>
          <w:rFonts w:hint="eastAsia" w:ascii="仿宋" w:hAnsi="仿宋" w:eastAsia="仿宋" w:cs="宋体"/>
          <w:color w:val="555555"/>
          <w:kern w:val="0"/>
          <w:sz w:val="32"/>
          <w:szCs w:val="32"/>
          <w:shd w:val="clear" w:fill="FFFFFF"/>
          <w:lang w:val="en-US" w:eastAsia="zh-CN" w:bidi="ar"/>
        </w:rPr>
        <w:t>支出</w:t>
      </w:r>
      <w:r>
        <w:rPr>
          <w:rFonts w:hint="eastAsia" w:ascii="仿宋_GB2312" w:hAnsi="宋体" w:eastAsia="仿宋_GB2312" w:cs="宋体"/>
          <w:color w:val="333333"/>
          <w:kern w:val="0"/>
          <w:sz w:val="32"/>
          <w:szCs w:val="32"/>
          <w:lang w:val="en-US" w:eastAsia="zh-CN" w:bidi="ar"/>
        </w:rPr>
        <w:t>。</w:t>
      </w:r>
    </w:p>
    <w:p>
      <w:pPr>
        <w:pStyle w:val="3"/>
        <w:numPr>
          <w:numId w:val="0"/>
        </w:numPr>
        <w:rPr>
          <w:rFonts w:hint="eastAsia"/>
          <w:lang w:val="en-US" w:eastAsia="zh-CN"/>
        </w:rPr>
      </w:pPr>
      <w:r>
        <w:rPr>
          <w:rFonts w:hint="eastAsia"/>
          <w:lang w:val="en-US" w:eastAsia="zh-CN"/>
        </w:rPr>
        <w:t>五、国有资产占有使用情况</w:t>
      </w:r>
    </w:p>
    <w:p>
      <w:pPr>
        <w:keepNext w:val="0"/>
        <w:keepLines w:val="0"/>
        <w:widowControl/>
        <w:numPr>
          <w:ilvl w:val="0"/>
          <w:numId w:val="0"/>
        </w:numPr>
        <w:suppressLineNumbers w:val="0"/>
        <w:spacing w:before="0" w:beforeAutospacing="1" w:afterAutospacing="1" w:line="30" w:lineRule="atLeast"/>
        <w:ind w:right="0" w:rightChars="0" w:firstLine="640" w:firstLineChars="200"/>
        <w:jc w:val="left"/>
        <w:rPr>
          <w:rFonts w:hint="eastAsia" w:ascii="仿宋" w:hAnsi="仿宋" w:eastAsia="仿宋" w:cs="宋体"/>
          <w:color w:val="555555"/>
          <w:kern w:val="0"/>
          <w:sz w:val="32"/>
          <w:szCs w:val="32"/>
          <w:shd w:val="clear" w:fill="FFFFFF"/>
          <w:lang w:val="en-US" w:eastAsia="zh-CN" w:bidi="ar"/>
        </w:rPr>
      </w:pPr>
      <w:r>
        <w:rPr>
          <w:rFonts w:hint="eastAsia" w:ascii="仿宋" w:hAnsi="仿宋" w:eastAsia="仿宋" w:cs="宋体"/>
          <w:color w:val="555555"/>
          <w:kern w:val="0"/>
          <w:sz w:val="32"/>
          <w:szCs w:val="32"/>
          <w:shd w:val="clear" w:fill="FFFFFF"/>
          <w:lang w:val="en-US" w:eastAsia="zh-CN" w:bidi="ar"/>
        </w:rPr>
        <w:t>截至2015年12月31日，本部门共有车辆14辆（定编使用车辆14辆，因资产上划暂停资产处置审批而待处置的车辆0辆），定编使用的车辆14辆中：一般执法执勤用车6辆，特种专业技术用车2辆，机要通信、应急公务用车2辆，其他用车4辆；单位价值在50万以上的通用设备0台（套），单位价值在100万以上的专用设备0台（套）。</w:t>
      </w:r>
    </w:p>
    <w:p>
      <w:pPr>
        <w:pStyle w:val="3"/>
        <w:numPr>
          <w:ilvl w:val="0"/>
          <w:numId w:val="4"/>
        </w:numPr>
        <w:rPr>
          <w:rFonts w:hint="eastAsia"/>
          <w:szCs w:val="22"/>
          <w:lang w:val="en-US" w:eastAsia="zh-CN"/>
        </w:rPr>
      </w:pPr>
      <w:bookmarkStart w:id="4" w:name="_GoBack"/>
      <w:bookmarkEnd w:id="4"/>
      <w:r>
        <w:rPr>
          <w:rFonts w:hint="eastAsia"/>
          <w:szCs w:val="22"/>
          <w:lang w:val="en-US" w:eastAsia="zh-CN"/>
        </w:rPr>
        <w:t>预算绩效信息公开情况</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我院实施绩效目标管理的项目</w:t>
      </w:r>
      <w:r>
        <w:rPr>
          <w:rFonts w:hint="eastAsia" w:ascii="仿宋_GB2312" w:hAnsi="仿宋_GB2312" w:eastAsia="仿宋_GB2312" w:cs="仿宋_GB2312"/>
          <w:sz w:val="32"/>
          <w:szCs w:val="32"/>
          <w:lang w:val="en-US" w:eastAsia="zh-CN"/>
        </w:rPr>
        <w:t>0个，涉及一般公共预算当年拨款0万元。</w:t>
      </w:r>
    </w:p>
    <w:p>
      <w:pPr>
        <w:keepNext w:val="0"/>
        <w:keepLines w:val="0"/>
        <w:widowControl/>
        <w:numPr>
          <w:numId w:val="0"/>
        </w:numPr>
        <w:suppressLineNumbers w:val="0"/>
        <w:spacing w:before="0" w:beforeAutospacing="1" w:afterAutospacing="1" w:line="30" w:lineRule="atLeast"/>
        <w:ind w:leftChars="0" w:right="0" w:rightChars="0"/>
        <w:jc w:val="left"/>
        <w:rPr>
          <w:rFonts w:hint="eastAsia" w:ascii="仿宋" w:hAnsi="仿宋" w:eastAsia="仿宋" w:cs="宋体"/>
          <w:color w:val="555555"/>
          <w:kern w:val="0"/>
          <w:sz w:val="32"/>
          <w:szCs w:val="32"/>
          <w:shd w:val="clear" w:fill="FFFFFF"/>
          <w:lang w:val="en-US" w:eastAsia="zh-CN" w:bidi="ar"/>
        </w:rPr>
      </w:pPr>
    </w:p>
    <w:p>
      <w:pPr>
        <w:pStyle w:val="2"/>
      </w:pPr>
      <w:bookmarkStart w:id="3" w:name="_Toc1446"/>
      <w:r>
        <w:rPr>
          <w:rFonts w:hint="default"/>
          <w:lang w:val="en-US" w:eastAsia="zh-CN"/>
        </w:rPr>
        <w:t>第</w:t>
      </w:r>
      <w:r>
        <w:rPr>
          <w:rFonts w:hint="eastAsia"/>
          <w:lang w:val="en-US" w:eastAsia="zh-CN"/>
        </w:rPr>
        <w:t>四</w:t>
      </w:r>
      <w:r>
        <w:rPr>
          <w:rFonts w:hint="default"/>
          <w:lang w:val="en-US" w:eastAsia="zh-CN"/>
        </w:rPr>
        <w:t>部分：名词解释</w:t>
      </w:r>
      <w:bookmarkEnd w:id="3"/>
    </w:p>
    <w:p>
      <w:pPr>
        <w:pStyle w:val="4"/>
        <w:keepNext w:val="0"/>
        <w:keepLines w:val="0"/>
        <w:widowControl/>
        <w:suppressLineNumbers w:val="0"/>
        <w:spacing w:before="0" w:beforeAutospacing="1" w:after="0" w:afterAutospacing="1" w:line="456" w:lineRule="auto"/>
        <w:ind w:left="0" w:right="0"/>
        <w:jc w:val="left"/>
        <w:rPr>
          <w:rFonts w:hint="default" w:ascii="仿宋_GB2312" w:hAnsi="宋体" w:eastAsia="仿宋_GB2312" w:cs="宋体"/>
          <w:color w:val="333333"/>
          <w:kern w:val="0"/>
          <w:sz w:val="32"/>
          <w:szCs w:val="32"/>
          <w:lang w:val="en-US" w:eastAsia="zh-CN" w:bidi="ar"/>
        </w:rPr>
      </w:pPr>
      <w:r>
        <w:rPr>
          <w:rFonts w:hint="eastAsia" w:ascii="仿宋_GB2312" w:hAnsi="宋体" w:eastAsia="仿宋_GB2312" w:cs="宋体"/>
          <w:color w:val="333333"/>
          <w:kern w:val="0"/>
          <w:sz w:val="32"/>
          <w:szCs w:val="32"/>
          <w:lang w:val="en-US" w:eastAsia="zh-CN" w:bidi="ar"/>
        </w:rPr>
        <w:t xml:space="preserve">  （一）财政拨款收入：指省级财政当年拨付的资金。</w:t>
      </w:r>
    </w:p>
    <w:p>
      <w:pPr>
        <w:pStyle w:val="4"/>
        <w:keepNext w:val="0"/>
        <w:keepLines w:val="0"/>
        <w:widowControl/>
        <w:suppressLineNumbers w:val="0"/>
        <w:spacing w:before="0" w:beforeAutospacing="1" w:after="0" w:afterAutospacing="1" w:line="456" w:lineRule="auto"/>
        <w:ind w:left="0" w:right="0"/>
        <w:jc w:val="left"/>
        <w:rPr>
          <w:rFonts w:hint="default" w:ascii="仿宋_GB2312" w:hAnsi="宋体" w:eastAsia="仿宋_GB2312" w:cs="宋体"/>
          <w:color w:val="333333"/>
          <w:kern w:val="0"/>
          <w:sz w:val="32"/>
          <w:szCs w:val="32"/>
          <w:lang w:val="en-US" w:eastAsia="zh-CN" w:bidi="ar"/>
        </w:rPr>
      </w:pPr>
      <w:r>
        <w:rPr>
          <w:rFonts w:hint="eastAsia" w:ascii="仿宋_GB2312" w:hAnsi="宋体" w:eastAsia="仿宋_GB2312" w:cs="宋体"/>
          <w:color w:val="333333"/>
          <w:kern w:val="0"/>
          <w:sz w:val="32"/>
          <w:szCs w:val="32"/>
          <w:lang w:val="en-US" w:eastAsia="zh-CN" w:bidi="ar"/>
        </w:rPr>
        <w:t xml:space="preserve">  （二）年初结转和结余：指以前年度尚未完成、结转到本年按有关规定继续使用的资金</w:t>
      </w:r>
    </w:p>
    <w:p>
      <w:pPr>
        <w:pStyle w:val="4"/>
        <w:keepNext w:val="0"/>
        <w:keepLines w:val="0"/>
        <w:widowControl/>
        <w:suppressLineNumbers w:val="0"/>
        <w:spacing w:before="0" w:beforeAutospacing="1" w:after="0" w:afterAutospacing="1" w:line="456" w:lineRule="auto"/>
        <w:ind w:left="0" w:right="0"/>
        <w:jc w:val="both"/>
        <w:rPr>
          <w:rFonts w:hint="default" w:ascii="仿宋_GB2312" w:hAnsi="宋体" w:eastAsia="仿宋_GB2312" w:cs="宋体"/>
          <w:color w:val="333333"/>
          <w:kern w:val="0"/>
          <w:sz w:val="32"/>
          <w:szCs w:val="32"/>
          <w:lang w:val="en-US" w:eastAsia="zh-CN" w:bidi="ar"/>
        </w:rPr>
      </w:pPr>
      <w:r>
        <w:rPr>
          <w:rFonts w:hint="eastAsia" w:ascii="仿宋_GB2312" w:hAnsi="宋体" w:eastAsia="仿宋_GB2312" w:cs="宋体"/>
          <w:color w:val="333333"/>
          <w:kern w:val="0"/>
          <w:sz w:val="32"/>
          <w:szCs w:val="32"/>
          <w:lang w:val="en-US" w:eastAsia="zh-CN" w:bidi="ar"/>
        </w:rPr>
        <w:t xml:space="preserve">  （三）年末结转和结余：指本年度或以前年度预算安排、因客观条件发生变化无法按原计划实施，需要延迟到以后年度按有关规定继续使用的资金。</w:t>
      </w:r>
    </w:p>
    <w:p>
      <w:pPr>
        <w:pStyle w:val="4"/>
        <w:keepNext w:val="0"/>
        <w:keepLines w:val="0"/>
        <w:widowControl/>
        <w:suppressLineNumbers w:val="0"/>
        <w:spacing w:before="0" w:beforeAutospacing="1" w:after="0" w:afterAutospacing="1" w:line="456" w:lineRule="auto"/>
        <w:ind w:left="0" w:right="0"/>
        <w:jc w:val="both"/>
        <w:rPr>
          <w:rFonts w:hint="default" w:ascii="仿宋_GB2312" w:hAnsi="宋体" w:eastAsia="仿宋_GB2312" w:cs="宋体"/>
          <w:color w:val="333333"/>
          <w:kern w:val="0"/>
          <w:sz w:val="32"/>
          <w:szCs w:val="32"/>
          <w:lang w:val="en-US" w:eastAsia="zh-CN" w:bidi="ar"/>
        </w:rPr>
      </w:pPr>
      <w:r>
        <w:rPr>
          <w:rFonts w:hint="eastAsia" w:ascii="仿宋_GB2312" w:hAnsi="宋体" w:eastAsia="仿宋_GB2312" w:cs="宋体"/>
          <w:color w:val="333333"/>
          <w:kern w:val="0"/>
          <w:sz w:val="32"/>
          <w:szCs w:val="32"/>
          <w:lang w:val="en-US" w:eastAsia="zh-CN" w:bidi="ar"/>
        </w:rPr>
        <w:t xml:space="preserve">  （四）“三公”经费：纳入省级财政预决算管理的“三公”经费，是指预算单位使用财政拨款安排的因公出国（境）费、公务用车购置及运行费和公务接待费，其中，因公出国（境）费反映单位公务出国（境）的国际旅费、国外城市间交通费、住宿费、伙食费、培训费、公杂费等支出；公务用车购置及运行费反映单位用车车辆购置支出（含车辆购置税）及租用费、燃料费、维修费、过路过桥费、保险费、安全奖励费用等支出；公务接待费反映单位按规定开支的各类公务接待（含外宾接待）支出。</w:t>
      </w:r>
    </w:p>
    <w:p>
      <w:pPr>
        <w:pStyle w:val="4"/>
        <w:keepNext w:val="0"/>
        <w:keepLines w:val="0"/>
        <w:widowControl/>
        <w:suppressLineNumbers w:val="0"/>
        <w:spacing w:before="0" w:beforeAutospacing="1" w:after="0" w:afterAutospacing="1" w:line="456" w:lineRule="auto"/>
        <w:ind w:left="0" w:right="0"/>
        <w:jc w:val="both"/>
        <w:rPr>
          <w:rFonts w:hint="eastAsia" w:ascii="仿宋_GB2312" w:hAnsi="宋体" w:eastAsia="仿宋_GB2312" w:cs="宋体"/>
          <w:color w:val="333333"/>
          <w:kern w:val="0"/>
          <w:sz w:val="32"/>
          <w:szCs w:val="32"/>
          <w:lang w:val="en-US" w:eastAsia="zh-CN" w:bidi="ar"/>
        </w:rPr>
      </w:pPr>
      <w:r>
        <w:rPr>
          <w:rFonts w:hint="eastAsia" w:ascii="仿宋_GB2312" w:hAnsi="宋体" w:eastAsia="仿宋_GB2312" w:cs="宋体"/>
          <w:color w:val="333333"/>
          <w:kern w:val="0"/>
          <w:sz w:val="32"/>
          <w:szCs w:val="32"/>
          <w:lang w:val="en-US" w:eastAsia="zh-CN" w:bidi="ar"/>
        </w:rPr>
        <w:t xml:space="preserve">  （五）机关运行经费：为保障行政单位运行用于购买货物和服务的各项资金，包括办公及印刷费、邮电费、差旅费、会议费、福利费、日常维修费、一般设备购置费、办公办案用房水电费、办公用房物业管理费、公务用车运行维护费以及其他费用。</w:t>
      </w:r>
    </w:p>
    <w:p>
      <w:pPr>
        <w:pStyle w:val="4"/>
        <w:keepNext w:val="0"/>
        <w:keepLines w:val="0"/>
        <w:widowControl/>
        <w:suppressLineNumbers w:val="0"/>
        <w:spacing w:after="150" w:afterAutospacing="0" w:line="30" w:lineRule="atLeast"/>
        <w:jc w:val="left"/>
      </w:pPr>
      <w:r>
        <w:rPr>
          <w:rFonts w:hint="eastAsia" w:ascii="宋体" w:hAnsi="宋体" w:eastAsia="宋体" w:cs="宋体"/>
          <w:color w:val="333333"/>
          <w:sz w:val="23"/>
          <w:szCs w:val="23"/>
        </w:rPr>
        <w:t> </w:t>
      </w:r>
    </w:p>
    <w:p>
      <w:pPr>
        <w:keepNext w:val="0"/>
        <w:keepLines w:val="0"/>
        <w:widowControl/>
        <w:suppressLineNumbers w:val="0"/>
        <w:spacing w:before="0" w:beforeAutospacing="1" w:afterAutospacing="1" w:line="30" w:lineRule="atLeast"/>
        <w:ind w:left="0" w:right="0"/>
        <w:jc w:val="right"/>
      </w:pPr>
      <w:r>
        <w:rPr>
          <w:rFonts w:hint="default" w:ascii="仿宋_GB2312" w:hAnsi="宋体" w:eastAsia="仿宋_GB2312" w:cs="宋体"/>
          <w:color w:val="333333"/>
          <w:kern w:val="0"/>
          <w:sz w:val="32"/>
          <w:szCs w:val="32"/>
          <w:lang w:val="en-US" w:eastAsia="zh-CN" w:bidi="ar"/>
        </w:rPr>
        <w:t xml:space="preserve">                                    2017年2月20日</w:t>
      </w:r>
    </w:p>
    <w:p>
      <w:pPr>
        <w:keepNext w:val="0"/>
        <w:keepLines w:val="0"/>
        <w:widowControl/>
        <w:suppressLineNumbers w:val="0"/>
        <w:shd w:val="clear" w:fill="FFFFFF"/>
        <w:spacing w:before="0" w:beforeAutospacing="0" w:after="0" w:afterAutospacing="0" w:line="326" w:lineRule="atLeast"/>
        <w:ind w:left="0" w:right="0" w:firstLine="640"/>
        <w:jc w:val="left"/>
        <w:rPr>
          <w:rFonts w:hint="eastAsia" w:ascii="仿宋_GB2312" w:hAnsi="仿宋" w:eastAsia="仿宋_GB2312" w:cs="仿宋_GB2312"/>
          <w:caps w:val="0"/>
          <w:color w:val="333333"/>
          <w:spacing w:val="0"/>
          <w:kern w:val="0"/>
          <w:sz w:val="32"/>
          <w:szCs w:val="32"/>
          <w:shd w:val="clear" w:fill="FFFFFF"/>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65F46A"/>
    <w:multiLevelType w:val="singleLevel"/>
    <w:tmpl w:val="EF65F46A"/>
    <w:lvl w:ilvl="0" w:tentative="0">
      <w:start w:val="1"/>
      <w:numFmt w:val="chineseCounting"/>
      <w:suff w:val="space"/>
      <w:lvlText w:val="第%1部分"/>
      <w:lvlJc w:val="left"/>
      <w:rPr>
        <w:rFonts w:hint="eastAsia"/>
      </w:rPr>
    </w:lvl>
  </w:abstractNum>
  <w:abstractNum w:abstractNumId="1">
    <w:nsid w:val="FEC50A2C"/>
    <w:multiLevelType w:val="singleLevel"/>
    <w:tmpl w:val="FEC50A2C"/>
    <w:lvl w:ilvl="0" w:tentative="0">
      <w:start w:val="6"/>
      <w:numFmt w:val="chineseCounting"/>
      <w:suff w:val="nothing"/>
      <w:lvlText w:val="%1、"/>
      <w:lvlJc w:val="left"/>
      <w:rPr>
        <w:rFonts w:hint="eastAsia"/>
      </w:rPr>
    </w:lvl>
  </w:abstractNum>
  <w:abstractNum w:abstractNumId="2">
    <w:nsid w:val="488EB33F"/>
    <w:multiLevelType w:val="singleLevel"/>
    <w:tmpl w:val="488EB33F"/>
    <w:lvl w:ilvl="0" w:tentative="0">
      <w:start w:val="1"/>
      <w:numFmt w:val="chineseCounting"/>
      <w:suff w:val="nothing"/>
      <w:lvlText w:val="%1、"/>
      <w:lvlJc w:val="left"/>
      <w:rPr>
        <w:rFonts w:hint="eastAsia"/>
      </w:rPr>
    </w:lvl>
  </w:abstractNum>
  <w:abstractNum w:abstractNumId="3">
    <w:nsid w:val="6D752CE8"/>
    <w:multiLevelType w:val="singleLevel"/>
    <w:tmpl w:val="6D752CE8"/>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2F30E4"/>
    <w:rsid w:val="248D6A26"/>
    <w:rsid w:val="5B493D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link w:val="14"/>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333333"/>
      <w:u w:val="none"/>
    </w:rPr>
  </w:style>
  <w:style w:type="character" w:styleId="7">
    <w:name w:val="Hyperlink"/>
    <w:basedOn w:val="5"/>
    <w:uiPriority w:val="0"/>
    <w:rPr>
      <w:color w:val="333333"/>
      <w:u w:val="none"/>
    </w:rPr>
  </w:style>
  <w:style w:type="character" w:customStyle="1" w:styleId="9">
    <w:name w:val="node"/>
    <w:basedOn w:val="5"/>
    <w:uiPriority w:val="0"/>
  </w:style>
  <w:style w:type="character" w:customStyle="1" w:styleId="10">
    <w:name w:val="node_close"/>
    <w:basedOn w:val="5"/>
    <w:uiPriority w:val="0"/>
  </w:style>
  <w:style w:type="character" w:customStyle="1" w:styleId="11">
    <w:name w:val="current2"/>
    <w:basedOn w:val="5"/>
    <w:uiPriority w:val="0"/>
    <w:rPr>
      <w:shd w:val="clear" w:fill="FFFFFF"/>
    </w:rPr>
  </w:style>
  <w:style w:type="character" w:customStyle="1" w:styleId="12">
    <w:name w:val="current3"/>
    <w:basedOn w:val="5"/>
    <w:uiPriority w:val="0"/>
    <w:rPr>
      <w:shd w:val="clear" w:fill="FF7D01"/>
    </w:rPr>
  </w:style>
  <w:style w:type="character" w:customStyle="1" w:styleId="13">
    <w:name w:val="c"/>
    <w:basedOn w:val="5"/>
    <w:uiPriority w:val="0"/>
    <w:rPr>
      <w:b/>
      <w:color w:val="000000"/>
      <w:bdr w:val="single" w:color="CCCCCC" w:sz="2" w:space="0"/>
    </w:rPr>
  </w:style>
  <w:style w:type="character" w:customStyle="1" w:styleId="14">
    <w:name w:val="标题 2 Char"/>
    <w:link w:val="3"/>
    <w:uiPriority w:val="0"/>
    <w:rPr>
      <w:rFonts w:ascii="Arial" w:hAnsi="Arial" w:eastAsia="黑体"/>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小寺</cp:lastModifiedBy>
  <dcterms:modified xsi:type="dcterms:W3CDTF">2018-04-09T02:41:39Z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