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7" w:lineRule="atLeast"/>
        <w:jc w:val="center"/>
        <w:rPr>
          <w:color w:val="333333"/>
        </w:rPr>
      </w:pPr>
      <w:bookmarkStart w:id="0" w:name="_Toc13533"/>
      <w:r>
        <w:rPr>
          <w:color w:val="333333"/>
        </w:rPr>
        <w:t>河源市人民检察院</w:t>
      </w:r>
      <w:bookmarkEnd w:id="0"/>
      <w:r>
        <w:rPr>
          <w:color w:val="333333"/>
        </w:rPr>
        <w:t xml:space="preserve"> </w:t>
      </w:r>
    </w:p>
    <w:p>
      <w:pPr>
        <w:pStyle w:val="2"/>
        <w:keepNext w:val="0"/>
        <w:keepLines w:val="0"/>
        <w:widowControl/>
        <w:suppressLineNumbers w:val="0"/>
        <w:spacing w:line="27" w:lineRule="atLeast"/>
        <w:jc w:val="center"/>
        <w:rPr>
          <w:color w:val="auto"/>
          <w:sz w:val="48"/>
          <w:szCs w:val="48"/>
        </w:rPr>
      </w:pPr>
      <w:bookmarkStart w:id="1" w:name="_Toc8518"/>
      <w:r>
        <w:rPr>
          <w:color w:val="333333"/>
        </w:rPr>
        <w:t>2017年度部门预算公开</w:t>
      </w:r>
      <w:bookmarkEnd w:id="1"/>
    </w:p>
    <w:p>
      <w:pPr>
        <w:jc w:val="center"/>
        <w:rPr>
          <w:rFonts w:hint="eastAsia"/>
          <w:b w:val="0"/>
          <w:bCs w:val="0"/>
          <w:sz w:val="32"/>
          <w:szCs w:val="40"/>
          <w:lang w:val="en-US" w:eastAsia="zh-CN"/>
        </w:rPr>
      </w:pPr>
      <w:r>
        <w:rPr>
          <w:rFonts w:hint="eastAsia"/>
          <w:b w:val="0"/>
          <w:bCs w:val="0"/>
          <w:sz w:val="44"/>
          <w:szCs w:val="44"/>
          <w:lang w:val="en-US" w:eastAsia="zh-CN"/>
        </w:rPr>
        <w:t>目录</w:t>
      </w:r>
    </w:p>
    <w:p>
      <w:pPr>
        <w:keepNext w:val="0"/>
        <w:keepLines w:val="0"/>
        <w:pageBreakBefore w:val="0"/>
        <w:widowControl/>
        <w:numPr>
          <w:ilvl w:val="0"/>
          <w:numId w:val="1"/>
        </w:numPr>
        <w:tabs>
          <w:tab w:val="left" w:pos="56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河源市人民检察院基本概况</w:t>
      </w:r>
    </w:p>
    <w:p>
      <w:pPr>
        <w:keepNext w:val="0"/>
        <w:keepLines w:val="0"/>
        <w:pageBreakBefore w:val="0"/>
        <w:widowControl/>
        <w:numPr>
          <w:ilvl w:val="0"/>
          <w:numId w:val="2"/>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主要职责</w:t>
      </w:r>
    </w:p>
    <w:p>
      <w:pPr>
        <w:keepNext w:val="0"/>
        <w:keepLines w:val="0"/>
        <w:pageBreakBefore w:val="0"/>
        <w:widowControl/>
        <w:numPr>
          <w:ilvl w:val="0"/>
          <w:numId w:val="2"/>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机构设置</w:t>
      </w:r>
    </w:p>
    <w:p>
      <w:pPr>
        <w:keepNext w:val="0"/>
        <w:keepLines w:val="0"/>
        <w:pageBreakBefore w:val="0"/>
        <w:widowControl/>
        <w:numPr>
          <w:ilvl w:val="0"/>
          <w:numId w:val="1"/>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2017年部门预算</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收支总体情况表</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收入总体情况表</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支出总体情况表</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财政拨款收支总体情况表</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一般公共预算支出情况表（按功能科目分类）</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一般公共预算基本支出情况表（按支出经济科目分类）</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一般公共预算项目支出情况表（按支出经济科目分类）</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一般公共预算安排的行政经费及“三公经费预算表”</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政府性基金预算支出情况表</w:t>
      </w:r>
    </w:p>
    <w:p>
      <w:pPr>
        <w:keepNext w:val="0"/>
        <w:keepLines w:val="0"/>
        <w:pageBreakBefore w:val="0"/>
        <w:widowControl/>
        <w:numPr>
          <w:ilvl w:val="0"/>
          <w:numId w:val="3"/>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部门预算基本支出预算表</w:t>
      </w:r>
    </w:p>
    <w:p>
      <w:pPr>
        <w:keepNext w:val="0"/>
        <w:keepLines w:val="0"/>
        <w:pageBreakBefore w:val="0"/>
        <w:widowControl/>
        <w:numPr>
          <w:ilvl w:val="0"/>
          <w:numId w:val="3"/>
        </w:numPr>
        <w:kinsoku/>
        <w:wordWrap/>
        <w:overflowPunct/>
        <w:topLinePunct w:val="0"/>
        <w:autoSpaceDE/>
        <w:autoSpaceDN/>
        <w:bidi w:val="0"/>
        <w:adjustRightInd/>
        <w:snapToGrid/>
        <w:spacing w:line="20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部门预算项目支出及其他支出预算表</w:t>
      </w:r>
    </w:p>
    <w:p>
      <w:pPr>
        <w:keepNext w:val="0"/>
        <w:keepLines w:val="0"/>
        <w:pageBreakBefore w:val="0"/>
        <w:widowControl/>
        <w:numPr>
          <w:ilvl w:val="0"/>
          <w:numId w:val="1"/>
        </w:numPr>
        <w:kinsoku/>
        <w:wordWrap/>
        <w:overflowPunct/>
        <w:topLinePunct w:val="0"/>
        <w:autoSpaceDE/>
        <w:autoSpaceDN/>
        <w:bidi w:val="0"/>
        <w:adjustRightInd/>
        <w:snapToGrid/>
        <w:spacing w:line="200" w:lineRule="atLeast"/>
        <w:ind w:left="0" w:leftChars="0" w:right="0" w:rightChars="0" w:firstLine="0" w:firstLineChars="0"/>
        <w:jc w:val="both"/>
        <w:textAlignment w:val="auto"/>
        <w:outlineLvl w:val="9"/>
        <w:rPr>
          <w:rFonts w:hint="eastAsia"/>
          <w:sz w:val="28"/>
          <w:szCs w:val="36"/>
          <w:lang w:val="en-US" w:eastAsia="zh-CN"/>
        </w:rPr>
      </w:pPr>
      <w:r>
        <w:rPr>
          <w:rFonts w:hint="eastAsia"/>
          <w:sz w:val="28"/>
          <w:szCs w:val="36"/>
          <w:lang w:val="en-US" w:eastAsia="zh-CN"/>
        </w:rPr>
        <w:t>2017年部门预算情况说明</w:t>
      </w:r>
    </w:p>
    <w:p>
      <w:pPr>
        <w:keepNext w:val="0"/>
        <w:keepLines w:val="0"/>
        <w:pageBreakBefore w:val="0"/>
        <w:widowControl/>
        <w:numPr>
          <w:ilvl w:val="0"/>
          <w:numId w:val="1"/>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sz w:val="32"/>
          <w:szCs w:val="40"/>
          <w:lang w:val="en-US" w:eastAsia="zh-CN"/>
        </w:rPr>
      </w:pPr>
      <w:r>
        <w:rPr>
          <w:rFonts w:hint="eastAsia"/>
          <w:sz w:val="28"/>
          <w:szCs w:val="36"/>
          <w:lang w:val="en-US" w:eastAsia="zh-CN"/>
        </w:rPr>
        <w:t>名词解释</w:t>
      </w:r>
    </w:p>
    <w:p>
      <w:pPr>
        <w:keepNext w:val="0"/>
        <w:keepLines w:val="0"/>
        <w:widowControl/>
        <w:suppressLineNumbers w:val="0"/>
        <w:spacing w:before="0" w:beforeAutospacing="1" w:afterAutospacing="1" w:line="30" w:lineRule="atLeast"/>
        <w:ind w:right="0" w:firstLine="640" w:firstLineChars="200"/>
        <w:jc w:val="left"/>
      </w:pPr>
      <w:r>
        <w:rPr>
          <w:rFonts w:ascii="仿宋_GB2312" w:hAnsi="宋体" w:eastAsia="仿宋_GB2312" w:cs="仿宋_GB2312"/>
          <w:color w:val="333333"/>
          <w:kern w:val="0"/>
          <w:sz w:val="32"/>
          <w:szCs w:val="32"/>
          <w:lang w:val="en-US" w:eastAsia="zh-CN" w:bidi="ar"/>
        </w:rPr>
        <w:t>根据省财政厅《关于批复市直预算单位</w:t>
      </w:r>
      <w:r>
        <w:rPr>
          <w:rFonts w:hint="default" w:ascii="仿宋_GB2312" w:hAnsi="宋体" w:eastAsia="仿宋_GB2312" w:cs="宋体"/>
          <w:color w:val="333333"/>
          <w:kern w:val="0"/>
          <w:sz w:val="32"/>
          <w:szCs w:val="32"/>
          <w:lang w:val="en-US" w:eastAsia="zh-CN" w:bidi="ar"/>
        </w:rPr>
        <w:t>2017年部门预算的通知》（粤财预[2017]26号）有关规定，现将我院2017年部门预算及“三公”经费信息公开如下：</w:t>
      </w:r>
    </w:p>
    <w:p>
      <w:pPr>
        <w:pStyle w:val="2"/>
      </w:pPr>
      <w:bookmarkStart w:id="2" w:name="_Toc26814"/>
      <w:r>
        <w:rPr>
          <w:rFonts w:hint="default"/>
          <w:lang w:val="en-US" w:eastAsia="zh-CN"/>
        </w:rPr>
        <w:t>第一部分：</w:t>
      </w:r>
      <w:bookmarkEnd w:id="2"/>
      <w:r>
        <w:rPr>
          <w:rFonts w:hint="eastAsia"/>
          <w:lang w:val="en-US" w:eastAsia="zh-CN"/>
        </w:rPr>
        <w:t>河源市人民检察院基本概况</w:t>
      </w:r>
    </w:p>
    <w:p>
      <w:pPr>
        <w:pStyle w:val="3"/>
      </w:pPr>
      <w:bookmarkStart w:id="3" w:name="_Toc8687"/>
      <w:r>
        <w:rPr>
          <w:lang w:val="en-US" w:eastAsia="zh-CN"/>
        </w:rPr>
        <w:t>一、主要职</w:t>
      </w:r>
      <w:bookmarkEnd w:id="3"/>
      <w:r>
        <w:rPr>
          <w:rFonts w:hint="eastAsia"/>
          <w:lang w:val="en-US" w:eastAsia="zh-CN"/>
        </w:rPr>
        <w:t>责</w:t>
      </w:r>
    </w:p>
    <w:p>
      <w:pPr>
        <w:keepNext w:val="0"/>
        <w:keepLines w:val="0"/>
        <w:widowControl/>
        <w:suppressLineNumbers w:val="0"/>
        <w:spacing w:before="0" w:beforeAutospacing="1" w:afterAutospacing="1" w:line="30" w:lineRule="atLeast"/>
        <w:ind w:left="0" w:right="0" w:firstLine="640" w:firstLineChars="200"/>
        <w:jc w:val="left"/>
        <w:rPr>
          <w:rFonts w:hint="default" w:ascii="仿宋_GB2312" w:hAnsi="宋体" w:eastAsia="仿宋_GB2312" w:cs="宋体"/>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河源市人民检察院是国家法律监督机关，肩负着领导全市两级人民检察院的各项工作，接受上级检察院和市委的领导，对市人民代表大会及其常务委员会负责并报告工作，接受其监督；依法对重大刑事犯罪案件进行批准逮捕、决定逮捕、提起公诉和出庭支持公诉；依法查处国家工作人员贪污贿赂等职务犯罪和国家机关工作人员渎职侵权犯罪，以及国家机关工作人员利用职权实施的其他重大犯罪案件；依法对刑事诉讼、民事审判和行政诉讼实行法律监督；依法对执行机关执行刑罚的活动是否合法实行监督；对人民法院确有错误的一审判决、裁定，依法向上级人民法院提出抗诉，对下级人民法院已经发生法律效力、确有错误的判决和裁定，依法向市中级人民法院提出抗诉；对全市各县区人民检察院在行使检察权中作出的决定进行审查，纠正错误决定；受理单位和个人的报案、控告、申诉、举报以及犯罪嫌疑人的自首；开展职务犯罪个案预防、系统预防、重点工程项目专项预防、法制宣传和警示教育工作；负责全市检察机关队伍建设和思想政治工作和教育培训工作；组织开展全市检察机关纪检监察和宣传教育工作；办理上级检察机关和市人大交办的案件和其他事项；协助外省、市检察机关查办案件等工作职责，全力维护社会稳定，为我市</w:t>
      </w:r>
      <w:r>
        <w:rPr>
          <w:rFonts w:hint="default" w:ascii="仿宋_GB2312" w:hAnsi="宋体" w:eastAsia="仿宋_GB2312" w:cs="宋体"/>
          <w:color w:val="333333"/>
          <w:kern w:val="0"/>
          <w:sz w:val="32"/>
          <w:szCs w:val="32"/>
          <w:lang w:val="en-US" w:eastAsia="zh-CN" w:bidi="ar"/>
        </w:rPr>
        <w:t>“脱贫康，振兴发展”发挥法律服务和法治保障作用。</w:t>
      </w:r>
    </w:p>
    <w:p>
      <w:pPr>
        <w:pStyle w:val="3"/>
        <w:rPr>
          <w:rFonts w:hint="eastAsia"/>
          <w:lang w:val="en-US" w:eastAsia="zh-CN"/>
        </w:rPr>
      </w:pPr>
      <w:r>
        <w:rPr>
          <w:rFonts w:hint="eastAsia"/>
          <w:lang w:val="en-US" w:eastAsia="zh-CN"/>
        </w:rPr>
        <w:t>二、机构设置</w:t>
      </w:r>
    </w:p>
    <w:p>
      <w:pPr>
        <w:keepNext w:val="0"/>
        <w:keepLines w:val="0"/>
        <w:widowControl/>
        <w:suppressLineNumbers w:val="0"/>
        <w:spacing w:before="0" w:beforeAutospacing="1" w:afterAutospacing="1" w:line="30" w:lineRule="atLeast"/>
        <w:ind w:left="0" w:right="0" w:firstLine="640" w:firstLineChars="200"/>
        <w:jc w:val="left"/>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（一）我院属于省一级预算单位，预算组成单位只有1个,无下属机构，由省、市两级财政全额拨款。</w:t>
      </w:r>
    </w:p>
    <w:p>
      <w:pPr>
        <w:keepNext w:val="0"/>
        <w:keepLines w:val="0"/>
        <w:widowControl/>
        <w:suppressLineNumbers w:val="0"/>
        <w:spacing w:before="0" w:beforeAutospacing="1" w:afterAutospacing="1" w:line="30" w:lineRule="atLeast"/>
        <w:ind w:left="0" w:right="0" w:firstLine="640" w:firstLineChars="200"/>
        <w:jc w:val="left"/>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（二）河源市人民检察院设2个工作机构（分别为政治处、反贪局），15个内设机构（分别为</w:t>
      </w:r>
      <w:r>
        <w:rPr>
          <w:rFonts w:hint="default" w:ascii="仿宋_GB2312" w:hAnsi="宋体" w:eastAsia="仿宋_GB2312" w:cs="宋体"/>
          <w:color w:val="333333"/>
          <w:kern w:val="0"/>
          <w:sz w:val="32"/>
          <w:szCs w:val="32"/>
          <w:lang w:val="en-US" w:eastAsia="zh-CN" w:bidi="ar"/>
        </w:rPr>
        <w:t>办公室、侦查指挥中心、监察室、侦查监督科、公诉科、侦查科、反渎职侵权局、民事行政检察科、控告科、刑事申诉科、职务犯罪预防科、未成人检察工作办公室、</w:t>
      </w:r>
      <w:r>
        <w:rPr>
          <w:rFonts w:hint="eastAsia" w:ascii="仿宋_GB2312" w:hAnsi="宋体" w:eastAsia="仿宋_GB2312" w:cs="宋体"/>
          <w:color w:val="333333"/>
          <w:kern w:val="0"/>
          <w:sz w:val="32"/>
          <w:szCs w:val="32"/>
          <w:lang w:val="en-US" w:eastAsia="zh-CN" w:bidi="ar"/>
        </w:rPr>
        <w:t>刑事执行局</w:t>
      </w:r>
      <w:r>
        <w:rPr>
          <w:rFonts w:hint="default" w:ascii="仿宋_GB2312" w:hAnsi="宋体" w:eastAsia="仿宋_GB2312" w:cs="宋体"/>
          <w:color w:val="333333"/>
          <w:kern w:val="0"/>
          <w:sz w:val="32"/>
          <w:szCs w:val="32"/>
          <w:lang w:val="en-US" w:eastAsia="zh-CN" w:bidi="ar"/>
        </w:rPr>
        <w:t>、驻监室、案件管理中心</w:t>
      </w:r>
      <w:r>
        <w:rPr>
          <w:rFonts w:hint="eastAsia" w:ascii="仿宋_GB2312" w:hAnsi="宋体" w:eastAsia="仿宋_GB2312" w:cs="宋体"/>
          <w:color w:val="333333"/>
          <w:kern w:val="0"/>
          <w:sz w:val="32"/>
          <w:szCs w:val="32"/>
          <w:lang w:val="en-US" w:eastAsia="zh-CN" w:bidi="ar"/>
        </w:rPr>
        <w:t>），以及1个直属行政单位（司法警察支队）。</w:t>
      </w:r>
    </w:p>
    <w:p>
      <w:pPr>
        <w:keepNext w:val="0"/>
        <w:keepLines w:val="0"/>
        <w:widowControl/>
        <w:suppressLineNumbers w:val="0"/>
        <w:spacing w:before="0" w:beforeAutospacing="1" w:afterAutospacing="1" w:line="30" w:lineRule="atLeast"/>
        <w:ind w:left="0" w:right="0" w:firstLine="640" w:firstLineChars="200"/>
        <w:jc w:val="left"/>
        <w:rPr>
          <w:rFonts w:hint="eastAsia"/>
          <w:lang w:val="en-US" w:eastAsia="zh-CN"/>
        </w:rPr>
      </w:pPr>
      <w:r>
        <w:rPr>
          <w:rFonts w:hint="eastAsia" w:ascii="仿宋_GB2312" w:hAnsi="宋体" w:eastAsia="仿宋_GB2312" w:cs="宋体"/>
          <w:color w:val="333333"/>
          <w:kern w:val="0"/>
          <w:sz w:val="32"/>
          <w:szCs w:val="32"/>
          <w:lang w:val="en-US" w:eastAsia="zh-CN" w:bidi="ar"/>
        </w:rPr>
        <w:t>（三）我院人员构成情况：</w:t>
      </w:r>
      <w:r>
        <w:rPr>
          <w:rFonts w:hint="default" w:ascii="仿宋_GB2312" w:hAnsi="宋体" w:eastAsia="仿宋_GB2312" w:cs="仿宋_GB2312"/>
          <w:color w:val="333333"/>
          <w:kern w:val="0"/>
          <w:sz w:val="32"/>
          <w:szCs w:val="32"/>
          <w:lang w:val="en-US" w:eastAsia="zh-CN" w:bidi="ar"/>
        </w:rPr>
        <w:t>核定行政编制</w:t>
      </w:r>
      <w:r>
        <w:rPr>
          <w:rFonts w:hint="default" w:ascii="仿宋_GB2312" w:hAnsi="宋体" w:eastAsia="仿宋_GB2312" w:cs="宋体"/>
          <w:color w:val="333333"/>
          <w:kern w:val="0"/>
          <w:sz w:val="32"/>
          <w:szCs w:val="32"/>
          <w:lang w:val="en-US" w:eastAsia="zh-CN" w:bidi="ar"/>
        </w:rPr>
        <w:t>100名，工勤编制10名，合计110名，实有在编人数96名。</w:t>
      </w:r>
    </w:p>
    <w:p>
      <w:pPr>
        <w:pStyle w:val="2"/>
        <w:rPr>
          <w:rFonts w:hint="eastAsia"/>
          <w:lang w:val="en-US" w:eastAsia="zh-CN"/>
        </w:rPr>
      </w:pPr>
      <w:bookmarkStart w:id="4" w:name="_Toc14879"/>
      <w:r>
        <w:rPr>
          <w:rFonts w:hint="default"/>
          <w:lang w:val="en-US" w:eastAsia="zh-CN"/>
        </w:rPr>
        <w:t>第二部分：</w:t>
      </w:r>
      <w:r>
        <w:rPr>
          <w:rFonts w:hint="eastAsia"/>
          <w:lang w:val="en-US" w:eastAsia="zh-CN"/>
        </w:rPr>
        <w:t>部门预算表</w:t>
      </w:r>
      <w:bookmarkEnd w:id="4"/>
    </w:p>
    <w:p>
      <w:pPr>
        <w:keepNext w:val="0"/>
        <w:keepLines w:val="0"/>
        <w:widowControl/>
        <w:suppressLineNumbers w:val="0"/>
        <w:spacing w:before="0" w:beforeAutospacing="1" w:afterAutospacing="1" w:line="30" w:lineRule="atLeast"/>
        <w:ind w:left="0" w:right="0" w:firstLine="640" w:firstLineChars="200"/>
        <w:jc w:val="left"/>
        <w:rPr>
          <w:rFonts w:hint="default" w:ascii="仿宋_GB2312" w:hAnsi="宋体" w:eastAsia="仿宋_GB2312" w:cs="仿宋_GB2312"/>
          <w:b/>
          <w:color w:val="333333"/>
          <w:kern w:val="0"/>
          <w:sz w:val="32"/>
          <w:szCs w:val="32"/>
          <w:lang w:val="en-US" w:eastAsia="zh-CN" w:bidi="ar"/>
        </w:rPr>
      </w:pPr>
      <w:r>
        <w:rPr>
          <w:rFonts w:hint="eastAsia" w:ascii="仿宋_GB2312" w:hAnsi="黑体" w:eastAsia="仿宋_GB2312"/>
          <w:sz w:val="32"/>
          <w:szCs w:val="32"/>
        </w:rPr>
        <w:t>见正文后附件</w:t>
      </w:r>
    </w:p>
    <w:p>
      <w:pPr>
        <w:pStyle w:val="2"/>
      </w:pPr>
      <w:bookmarkStart w:id="5" w:name="_Toc29056"/>
      <w:r>
        <w:rPr>
          <w:rFonts w:hint="eastAsia"/>
          <w:lang w:val="en-US" w:eastAsia="zh-CN"/>
        </w:rPr>
        <w:t>第三部分：</w:t>
      </w:r>
      <w:r>
        <w:rPr>
          <w:rFonts w:hint="default"/>
          <w:lang w:val="en-US" w:eastAsia="zh-CN"/>
        </w:rPr>
        <w:t>2017年部门预算安排情况说明</w:t>
      </w:r>
      <w:bookmarkEnd w:id="5"/>
    </w:p>
    <w:p>
      <w:pPr>
        <w:pStyle w:val="3"/>
        <w:rPr>
          <w:rFonts w:hint="eastAsia"/>
        </w:rPr>
      </w:pPr>
      <w:r>
        <w:rPr>
          <w:rFonts w:hint="eastAsia"/>
          <w:lang w:val="en-US" w:eastAsia="zh-CN"/>
        </w:rPr>
        <w:t>一、部门预算收支增减变化情况</w:t>
      </w:r>
    </w:p>
    <w:p>
      <w:pPr>
        <w:keepNext w:val="0"/>
        <w:keepLines w:val="0"/>
        <w:widowControl/>
        <w:suppressLineNumbers w:val="0"/>
        <w:shd w:val="clear" w:fill="FFFFFF"/>
        <w:spacing w:before="0" w:beforeAutospacing="0" w:after="0" w:afterAutospacing="0" w:line="480" w:lineRule="auto"/>
        <w:ind w:left="0" w:right="0" w:firstLine="592"/>
        <w:jc w:val="left"/>
      </w:pPr>
      <w:r>
        <w:rPr>
          <w:rFonts w:hint="default" w:ascii="仿宋_GB2312" w:hAnsi="仿宋" w:eastAsia="仿宋_GB2312" w:cs="仿宋_GB2312"/>
          <w:caps w:val="0"/>
          <w:color w:val="333333"/>
          <w:spacing w:val="0"/>
          <w:kern w:val="0"/>
          <w:sz w:val="32"/>
          <w:szCs w:val="32"/>
          <w:shd w:val="clear" w:fill="FFFFFF"/>
          <w:lang w:val="en-US" w:eastAsia="zh-CN" w:bidi="ar"/>
        </w:rPr>
        <w:t>201</w:t>
      </w:r>
      <w:r>
        <w:rPr>
          <w:rFonts w:hint="eastAsia" w:ascii="仿宋_GB2312" w:hAnsi="仿宋" w:eastAsia="仿宋_GB2312" w:cs="仿宋_GB2312"/>
          <w:caps w:val="0"/>
          <w:color w:val="333333"/>
          <w:spacing w:val="0"/>
          <w:kern w:val="0"/>
          <w:sz w:val="32"/>
          <w:szCs w:val="32"/>
          <w:shd w:val="clear" w:fill="FFFFFF"/>
          <w:lang w:val="en-US" w:eastAsia="zh-CN" w:bidi="ar"/>
        </w:rPr>
        <w:t>7</w:t>
      </w:r>
      <w:r>
        <w:rPr>
          <w:rFonts w:hint="default" w:ascii="仿宋_GB2312" w:hAnsi="仿宋" w:eastAsia="仿宋_GB2312" w:cs="仿宋_GB2312"/>
          <w:caps w:val="0"/>
          <w:color w:val="333333"/>
          <w:spacing w:val="0"/>
          <w:kern w:val="0"/>
          <w:sz w:val="32"/>
          <w:szCs w:val="32"/>
          <w:shd w:val="clear" w:fill="FFFFFF"/>
          <w:lang w:val="en-US" w:eastAsia="zh-CN" w:bidi="ar"/>
        </w:rPr>
        <w:t>年年初部门预算收入</w:t>
      </w:r>
      <w:r>
        <w:rPr>
          <w:rFonts w:hint="eastAsia" w:ascii="仿宋_GB2312" w:hAnsi="仿宋" w:eastAsia="仿宋_GB2312" w:cs="仿宋_GB2312"/>
          <w:caps w:val="0"/>
          <w:color w:val="333333"/>
          <w:spacing w:val="0"/>
          <w:kern w:val="0"/>
          <w:sz w:val="32"/>
          <w:szCs w:val="32"/>
          <w:shd w:val="clear" w:fill="FFFFFF"/>
          <w:lang w:val="en-US" w:eastAsia="zh-CN" w:bidi="ar"/>
        </w:rPr>
        <w:t>2434.45</w:t>
      </w:r>
      <w:r>
        <w:rPr>
          <w:rFonts w:hint="default" w:ascii="仿宋_GB2312" w:hAnsi="仿宋" w:eastAsia="仿宋_GB2312" w:cs="仿宋_GB2312"/>
          <w:caps w:val="0"/>
          <w:color w:val="333333"/>
          <w:spacing w:val="0"/>
          <w:kern w:val="0"/>
          <w:sz w:val="32"/>
          <w:szCs w:val="32"/>
          <w:shd w:val="clear" w:fill="FFFFFF"/>
          <w:lang w:val="en-US" w:eastAsia="zh-CN" w:bidi="ar"/>
        </w:rPr>
        <w:t>万元</w:t>
      </w:r>
      <w:r>
        <w:rPr>
          <w:rFonts w:hint="default" w:ascii="仿宋_GB2312" w:hAnsi="宋体" w:eastAsia="仿宋_GB2312" w:cs="宋体"/>
          <w:color w:val="333333"/>
          <w:kern w:val="0"/>
          <w:sz w:val="32"/>
          <w:szCs w:val="32"/>
          <w:lang w:val="en-US" w:eastAsia="zh-CN" w:bidi="ar"/>
        </w:rPr>
        <w:t>，</w:t>
      </w:r>
      <w:r>
        <w:rPr>
          <w:rFonts w:hint="eastAsia" w:ascii="仿宋_GB2312" w:hAnsi="宋体" w:eastAsia="仿宋_GB2312" w:cs="宋体"/>
          <w:color w:val="333333"/>
          <w:kern w:val="0"/>
          <w:sz w:val="32"/>
          <w:szCs w:val="32"/>
          <w:lang w:val="en-US" w:eastAsia="zh-CN" w:bidi="ar"/>
        </w:rPr>
        <w:t>较去年增加了275.45万元，</w:t>
      </w:r>
      <w:r>
        <w:rPr>
          <w:rFonts w:hint="default" w:ascii="仿宋_GB2312" w:hAnsi="宋体" w:eastAsia="仿宋_GB2312" w:cs="宋体"/>
          <w:color w:val="333333"/>
          <w:kern w:val="0"/>
          <w:sz w:val="32"/>
          <w:szCs w:val="32"/>
          <w:lang w:val="en-US" w:eastAsia="zh-CN" w:bidi="ar"/>
        </w:rPr>
        <w:t>增加</w:t>
      </w:r>
      <w:r>
        <w:rPr>
          <w:rFonts w:hint="eastAsia" w:ascii="仿宋_GB2312" w:hAnsi="宋体" w:eastAsia="仿宋_GB2312" w:cs="宋体"/>
          <w:color w:val="333333"/>
          <w:kern w:val="0"/>
          <w:sz w:val="32"/>
          <w:szCs w:val="32"/>
          <w:lang w:val="en-US" w:eastAsia="zh-CN" w:bidi="ar"/>
        </w:rPr>
        <w:t>了12.7%</w:t>
      </w:r>
      <w:r>
        <w:rPr>
          <w:rFonts w:hint="default" w:ascii="仿宋_GB2312" w:hAnsi="宋体" w:eastAsia="仿宋_GB2312" w:cs="宋体"/>
          <w:color w:val="333333"/>
          <w:kern w:val="0"/>
          <w:sz w:val="32"/>
          <w:szCs w:val="32"/>
          <w:lang w:val="en-US" w:eastAsia="zh-CN" w:bidi="ar"/>
        </w:rPr>
        <w:t>。增加原因主要为司法体制改革后，员额内人员工资变动，导致基本支出中人员经费预算增加。</w:t>
      </w:r>
      <w:r>
        <w:rPr>
          <w:rFonts w:hint="eastAsia" w:ascii="仿宋_GB2312" w:hAnsi="宋体" w:eastAsia="仿宋_GB2312" w:cs="宋体"/>
          <w:color w:val="333333"/>
          <w:kern w:val="0"/>
          <w:sz w:val="32"/>
          <w:szCs w:val="32"/>
          <w:lang w:val="en-US" w:eastAsia="zh-CN" w:bidi="ar"/>
        </w:rPr>
        <w:t>支出预算2434.45万元，较去年增加了275.45万元，</w:t>
      </w:r>
      <w:r>
        <w:rPr>
          <w:rFonts w:hint="default" w:ascii="仿宋_GB2312" w:hAnsi="宋体" w:eastAsia="仿宋_GB2312" w:cs="宋体"/>
          <w:color w:val="333333"/>
          <w:kern w:val="0"/>
          <w:sz w:val="32"/>
          <w:szCs w:val="32"/>
          <w:lang w:val="en-US" w:eastAsia="zh-CN" w:bidi="ar"/>
        </w:rPr>
        <w:t>增加</w:t>
      </w:r>
      <w:r>
        <w:rPr>
          <w:rFonts w:hint="eastAsia" w:ascii="仿宋_GB2312" w:hAnsi="宋体" w:eastAsia="仿宋_GB2312" w:cs="宋体"/>
          <w:color w:val="333333"/>
          <w:kern w:val="0"/>
          <w:sz w:val="32"/>
          <w:szCs w:val="32"/>
          <w:lang w:val="en-US" w:eastAsia="zh-CN" w:bidi="ar"/>
        </w:rPr>
        <w:t>了12.7%</w:t>
      </w:r>
      <w:r>
        <w:rPr>
          <w:rFonts w:hint="default" w:ascii="仿宋_GB2312" w:hAnsi="宋体" w:eastAsia="仿宋_GB2312" w:cs="宋体"/>
          <w:color w:val="333333"/>
          <w:kern w:val="0"/>
          <w:sz w:val="32"/>
          <w:szCs w:val="32"/>
          <w:lang w:val="en-US" w:eastAsia="zh-CN" w:bidi="ar"/>
        </w:rPr>
        <w:t>。</w:t>
      </w:r>
      <w:r>
        <w:rPr>
          <w:rFonts w:hint="eastAsia" w:ascii="仿宋" w:hAnsi="仿宋" w:eastAsia="仿宋" w:cs="宋体"/>
          <w:color w:val="555555"/>
          <w:kern w:val="0"/>
          <w:sz w:val="32"/>
          <w:szCs w:val="32"/>
          <w:shd w:val="clear" w:fill="FFFFFF"/>
          <w:lang w:val="en-US" w:eastAsia="zh-CN" w:bidi="ar"/>
        </w:rPr>
        <w:t>增加原因为2016年下半年后，按照中央、省级相关文件精神，增加在编在职人员基本工资以及按规定对员额内法官、检察官执行新的工资制度改革，因此导致基本支出预算增加。</w:t>
      </w:r>
    </w:p>
    <w:p>
      <w:pPr>
        <w:pStyle w:val="3"/>
        <w:rPr>
          <w:rFonts w:hint="default"/>
          <w:lang w:val="en-US" w:eastAsia="zh-CN"/>
        </w:rPr>
      </w:pPr>
      <w:bookmarkStart w:id="6" w:name="_Toc30636"/>
      <w:r>
        <w:rPr>
          <w:rFonts w:hint="eastAsia"/>
          <w:lang w:val="en-US" w:eastAsia="zh-CN"/>
        </w:rPr>
        <w:t>二、“三公”经费情况说明</w:t>
      </w:r>
      <w:bookmarkEnd w:id="6"/>
    </w:p>
    <w:p>
      <w:pPr>
        <w:keepNext w:val="0"/>
        <w:keepLines w:val="0"/>
        <w:widowControl/>
        <w:numPr>
          <w:ilvl w:val="0"/>
          <w:numId w:val="0"/>
        </w:numPr>
        <w:suppressLineNumbers w:val="0"/>
        <w:spacing w:before="0" w:beforeAutospacing="1" w:afterAutospacing="1" w:line="30" w:lineRule="atLeast"/>
        <w:ind w:right="0" w:rightChars="0" w:firstLine="640" w:firstLineChars="200"/>
        <w:jc w:val="left"/>
      </w:pPr>
      <w:r>
        <w:rPr>
          <w:rFonts w:hint="default" w:ascii="仿宋_GB2312" w:hAnsi="宋体" w:eastAsia="仿宋_GB2312" w:cs="宋体"/>
          <w:color w:val="333333"/>
          <w:kern w:val="0"/>
          <w:sz w:val="32"/>
          <w:szCs w:val="32"/>
          <w:lang w:val="en-US" w:eastAsia="zh-CN" w:bidi="ar"/>
        </w:rPr>
        <w:t>“三公”经费2017年财政拨款预算总额66.50万元，较去年增加</w:t>
      </w:r>
      <w:r>
        <w:rPr>
          <w:rFonts w:hint="eastAsia" w:ascii="仿宋_GB2312" w:hAnsi="宋体" w:eastAsia="仿宋_GB2312" w:cs="宋体"/>
          <w:color w:val="333333"/>
          <w:kern w:val="0"/>
          <w:sz w:val="32"/>
          <w:szCs w:val="32"/>
          <w:lang w:val="en-US" w:eastAsia="zh-CN" w:bidi="ar"/>
        </w:rPr>
        <w:t>了1万元，增加了</w:t>
      </w:r>
      <w:r>
        <w:rPr>
          <w:rFonts w:hint="default" w:ascii="仿宋_GB2312" w:hAnsi="宋体" w:eastAsia="仿宋_GB2312" w:cs="宋体"/>
          <w:color w:val="333333"/>
          <w:kern w:val="0"/>
          <w:sz w:val="32"/>
          <w:szCs w:val="32"/>
          <w:lang w:val="en-US" w:eastAsia="zh-CN" w:bidi="ar"/>
        </w:rPr>
        <w:t>1%。其中</w:t>
      </w:r>
      <w:r>
        <w:rPr>
          <w:rFonts w:hint="default" w:ascii="仿宋_GB2312" w:hAnsi="宋体" w:eastAsia="仿宋_GB2312" w:cs="宋体"/>
          <w:b/>
          <w:bCs/>
          <w:color w:val="333333"/>
          <w:kern w:val="0"/>
          <w:sz w:val="32"/>
          <w:szCs w:val="32"/>
          <w:lang w:val="en-US" w:eastAsia="zh-CN" w:bidi="ar"/>
        </w:rPr>
        <w:t>公务接待费</w:t>
      </w:r>
      <w:r>
        <w:rPr>
          <w:rFonts w:hint="default" w:ascii="仿宋_GB2312" w:hAnsi="宋体" w:eastAsia="仿宋_GB2312" w:cs="宋体"/>
          <w:color w:val="333333"/>
          <w:kern w:val="0"/>
          <w:sz w:val="32"/>
          <w:szCs w:val="32"/>
          <w:lang w:val="en-US" w:eastAsia="zh-CN" w:bidi="ar"/>
        </w:rPr>
        <w:t>5.6万元，与去年预算持平。</w:t>
      </w:r>
      <w:r>
        <w:rPr>
          <w:rFonts w:hint="default" w:ascii="仿宋_GB2312" w:hAnsi="宋体" w:eastAsia="仿宋_GB2312" w:cs="宋体"/>
          <w:b/>
          <w:bCs/>
          <w:color w:val="333333"/>
          <w:kern w:val="0"/>
          <w:sz w:val="32"/>
          <w:szCs w:val="32"/>
          <w:lang w:val="en-US" w:eastAsia="zh-CN" w:bidi="ar"/>
        </w:rPr>
        <w:t>公务用车运行费</w:t>
      </w:r>
      <w:r>
        <w:rPr>
          <w:rFonts w:hint="default" w:ascii="仿宋_GB2312" w:hAnsi="宋体" w:eastAsia="仿宋_GB2312" w:cs="宋体"/>
          <w:color w:val="333333"/>
          <w:kern w:val="0"/>
          <w:sz w:val="32"/>
          <w:szCs w:val="32"/>
          <w:lang w:val="en-US" w:eastAsia="zh-CN" w:bidi="ar"/>
        </w:rPr>
        <w:t>30万元，</w:t>
      </w:r>
      <w:r>
        <w:rPr>
          <w:rFonts w:hint="eastAsia" w:ascii="仿宋_GB2312" w:hAnsi="宋体" w:eastAsia="仿宋_GB2312" w:cs="宋体"/>
          <w:color w:val="333333"/>
          <w:kern w:val="0"/>
          <w:sz w:val="32"/>
          <w:szCs w:val="32"/>
          <w:lang w:val="en-US" w:eastAsia="zh-CN" w:bidi="ar"/>
        </w:rPr>
        <w:t>较去年减少了20万元，减少了40%，</w:t>
      </w:r>
      <w:r>
        <w:rPr>
          <w:rFonts w:hint="default" w:ascii="仿宋_GB2312" w:hAnsi="宋体" w:eastAsia="仿宋_GB2312" w:cs="宋体"/>
          <w:color w:val="333333"/>
          <w:kern w:val="0"/>
          <w:sz w:val="32"/>
          <w:szCs w:val="32"/>
          <w:lang w:val="en-US" w:eastAsia="zh-CN" w:bidi="ar"/>
        </w:rPr>
        <w:t>公务用车运行费比上年预算减少是因车改，我院车辆减少，费用相应减少。</w:t>
      </w:r>
      <w:r>
        <w:rPr>
          <w:rFonts w:hint="default" w:ascii="宋体" w:hAnsi="宋体" w:eastAsia="仿宋_GB2312" w:cs="宋体"/>
          <w:color w:val="333333"/>
          <w:kern w:val="0"/>
          <w:sz w:val="32"/>
          <w:szCs w:val="32"/>
          <w:lang w:val="en-US" w:eastAsia="zh-CN" w:bidi="ar"/>
        </w:rPr>
        <w:t xml:space="preserve"> </w:t>
      </w:r>
      <w:r>
        <w:rPr>
          <w:rFonts w:hint="default" w:ascii="仿宋_GB2312" w:hAnsi="宋体" w:eastAsia="仿宋_GB2312" w:cs="仿宋_GB2312"/>
          <w:color w:val="333333"/>
          <w:kern w:val="0"/>
          <w:sz w:val="32"/>
          <w:szCs w:val="32"/>
          <w:lang w:val="en-US" w:eastAsia="zh-CN" w:bidi="ar"/>
        </w:rPr>
        <w:t>公务用车购置费用</w:t>
      </w:r>
      <w:r>
        <w:rPr>
          <w:rFonts w:hint="default" w:ascii="仿宋_GB2312" w:hAnsi="宋体" w:eastAsia="仿宋_GB2312" w:cs="宋体"/>
          <w:color w:val="333333"/>
          <w:kern w:val="0"/>
          <w:sz w:val="32"/>
          <w:szCs w:val="32"/>
          <w:lang w:val="en-US" w:eastAsia="zh-CN" w:bidi="ar"/>
        </w:rPr>
        <w:t>20.9万元，</w:t>
      </w:r>
      <w:r>
        <w:rPr>
          <w:rFonts w:hint="eastAsia" w:ascii="仿宋_GB2312" w:hAnsi="宋体" w:eastAsia="仿宋_GB2312" w:cs="宋体"/>
          <w:color w:val="333333"/>
          <w:kern w:val="0"/>
          <w:sz w:val="32"/>
          <w:szCs w:val="32"/>
          <w:lang w:val="en-US" w:eastAsia="zh-CN" w:bidi="ar"/>
        </w:rPr>
        <w:t>较去年增加20.9万元，</w:t>
      </w:r>
      <w:r>
        <w:rPr>
          <w:rFonts w:hint="default" w:ascii="仿宋_GB2312" w:hAnsi="宋体" w:eastAsia="仿宋_GB2312" w:cs="宋体"/>
          <w:color w:val="333333"/>
          <w:kern w:val="0"/>
          <w:sz w:val="32"/>
          <w:szCs w:val="32"/>
          <w:lang w:val="en-US" w:eastAsia="zh-CN" w:bidi="ar"/>
        </w:rPr>
        <w:t>今年计划购置办案用车一辆。</w:t>
      </w:r>
      <w:r>
        <w:rPr>
          <w:rFonts w:hint="default" w:ascii="仿宋_GB2312" w:hAnsi="宋体" w:eastAsia="仿宋_GB2312" w:cs="宋体"/>
          <w:b/>
          <w:bCs/>
          <w:color w:val="333333"/>
          <w:kern w:val="0"/>
          <w:sz w:val="32"/>
          <w:szCs w:val="32"/>
          <w:lang w:val="en-US" w:eastAsia="zh-CN" w:bidi="ar"/>
        </w:rPr>
        <w:t>因公出国（境）支出</w:t>
      </w:r>
      <w:r>
        <w:rPr>
          <w:rFonts w:hint="eastAsia" w:ascii="仿宋_GB2312" w:hAnsi="宋体" w:eastAsia="仿宋_GB2312" w:cs="宋体"/>
          <w:b w:val="0"/>
          <w:bCs w:val="0"/>
          <w:color w:val="333333"/>
          <w:kern w:val="0"/>
          <w:sz w:val="32"/>
          <w:szCs w:val="32"/>
          <w:lang w:val="en-US" w:eastAsia="zh-CN" w:bidi="ar"/>
        </w:rPr>
        <w:t>预算</w:t>
      </w:r>
      <w:r>
        <w:rPr>
          <w:rFonts w:hint="default" w:ascii="仿宋_GB2312" w:hAnsi="宋体" w:eastAsia="仿宋_GB2312" w:cs="宋体"/>
          <w:color w:val="333333"/>
          <w:kern w:val="0"/>
          <w:sz w:val="32"/>
          <w:szCs w:val="32"/>
          <w:lang w:val="en-US" w:eastAsia="zh-CN" w:bidi="ar"/>
        </w:rPr>
        <w:t>10万元</w:t>
      </w:r>
      <w:r>
        <w:rPr>
          <w:rFonts w:hint="eastAsia" w:ascii="仿宋_GB2312" w:hAnsi="宋体" w:eastAsia="仿宋_GB2312" w:cs="宋体"/>
          <w:color w:val="333333"/>
          <w:kern w:val="0"/>
          <w:sz w:val="32"/>
          <w:szCs w:val="32"/>
          <w:lang w:val="en-US" w:eastAsia="zh-CN" w:bidi="ar"/>
        </w:rPr>
        <w:t>共1人，参加检察院组织的“检察官司法责任制及权益保障”培训班。《关于组织参加检察机关领导素能加拿大培训班的通知》（粤检政[2017]87号）较去年持平。</w:t>
      </w:r>
    </w:p>
    <w:p>
      <w:pPr>
        <w:pStyle w:val="3"/>
        <w:rPr>
          <w:rFonts w:hint="eastAsia"/>
          <w:lang w:val="en-US" w:eastAsia="zh-CN"/>
        </w:rPr>
      </w:pPr>
      <w:r>
        <w:rPr>
          <w:rFonts w:hint="default"/>
          <w:lang w:val="en-US" w:eastAsia="zh-CN"/>
        </w:rPr>
        <w:t xml:space="preserve">  </w:t>
      </w:r>
      <w:bookmarkStart w:id="7" w:name="_Toc2432"/>
      <w:r>
        <w:rPr>
          <w:rFonts w:hint="eastAsia"/>
          <w:lang w:val="en-US" w:eastAsia="zh-CN"/>
        </w:rPr>
        <w:t>三</w:t>
      </w:r>
      <w:r>
        <w:rPr>
          <w:rFonts w:hint="default"/>
          <w:lang w:val="en-US" w:eastAsia="zh-CN"/>
        </w:rPr>
        <w:t>、</w:t>
      </w:r>
      <w:r>
        <w:rPr>
          <w:rFonts w:hint="eastAsia"/>
          <w:lang w:val="en-US" w:eastAsia="zh-CN"/>
        </w:rPr>
        <w:t>机关运行费用说明</w:t>
      </w:r>
      <w:bookmarkEnd w:id="7"/>
    </w:p>
    <w:p>
      <w:pPr>
        <w:keepNext w:val="0"/>
        <w:keepLines w:val="0"/>
        <w:widowControl/>
        <w:suppressLineNumbers w:val="0"/>
        <w:shd w:val="clear" w:fill="FFFFFF"/>
        <w:spacing w:before="0" w:beforeAutospacing="0" w:after="0" w:afterAutospacing="0" w:line="480" w:lineRule="auto"/>
        <w:ind w:left="0" w:right="0" w:firstLine="592"/>
        <w:jc w:val="left"/>
        <w:rPr>
          <w:rFonts w:hint="default" w:ascii="仿宋_GB2312" w:hAnsi="宋体" w:eastAsia="仿宋_GB2312" w:cs="宋体"/>
          <w:color w:val="333333"/>
          <w:kern w:val="0"/>
          <w:sz w:val="32"/>
          <w:szCs w:val="32"/>
          <w:lang w:val="en-US" w:eastAsia="zh-CN" w:bidi="ar"/>
        </w:rPr>
      </w:pPr>
      <w:r>
        <w:rPr>
          <w:rFonts w:ascii="仿宋" w:hAnsi="仿宋" w:eastAsia="仿宋" w:cs="宋体"/>
          <w:color w:val="555555"/>
          <w:kern w:val="0"/>
          <w:sz w:val="32"/>
          <w:szCs w:val="32"/>
          <w:shd w:val="clear" w:fill="FFFFFF"/>
          <w:lang w:val="en-US" w:eastAsia="zh-CN" w:bidi="ar"/>
        </w:rPr>
        <w:t>2017</w:t>
      </w:r>
      <w:r>
        <w:rPr>
          <w:rFonts w:hint="eastAsia" w:ascii="仿宋" w:hAnsi="仿宋" w:eastAsia="仿宋" w:cs="宋体"/>
          <w:color w:val="555555"/>
          <w:kern w:val="0"/>
          <w:sz w:val="32"/>
          <w:szCs w:val="32"/>
          <w:shd w:val="clear" w:fill="FFFFFF"/>
          <w:lang w:val="en-US" w:eastAsia="zh-CN" w:bidi="ar"/>
        </w:rPr>
        <w:t>年机关运行预算经费387万元，较去年增加了127万元，增加了48.8%，主要原因是部分物价上涨，人员增加，机关运行成本增加，因此适当增加该部分预算。其中：办公费60万元，印刷费12万元，邮电费15万元，咨询费1万元，因公出国（境）费用10万元，手续费0.5万元，水费1万元，电费17万元，公务接待费5.6万元，物业管理费50万元，维修（护）费50万元，劳务费9万元。</w:t>
      </w:r>
    </w:p>
    <w:p>
      <w:pPr>
        <w:pStyle w:val="3"/>
        <w:rPr>
          <w:rFonts w:hint="eastAsia"/>
          <w:lang w:val="en-US" w:eastAsia="zh-CN"/>
        </w:rPr>
      </w:pPr>
      <w:bookmarkStart w:id="8" w:name="_Toc1849"/>
      <w:r>
        <w:rPr>
          <w:rFonts w:hint="eastAsia"/>
          <w:lang w:val="en-US" w:eastAsia="zh-CN"/>
        </w:rPr>
        <w:t>四、政府采购情况说明</w:t>
      </w:r>
      <w:bookmarkEnd w:id="8"/>
    </w:p>
    <w:p>
      <w:pPr>
        <w:keepNext w:val="0"/>
        <w:keepLines w:val="0"/>
        <w:widowControl/>
        <w:numPr>
          <w:ilvl w:val="0"/>
          <w:numId w:val="0"/>
        </w:numPr>
        <w:suppressLineNumbers w:val="0"/>
        <w:spacing w:before="0" w:beforeAutospacing="1" w:afterAutospacing="1" w:line="30" w:lineRule="atLeast"/>
        <w:ind w:right="0" w:rightChars="0" w:firstLine="960" w:firstLineChars="300"/>
        <w:jc w:val="left"/>
        <w:rPr>
          <w:rFonts w:hint="eastAsia" w:ascii="仿宋_GB2312" w:hAnsi="宋体" w:eastAsia="仿宋_GB2312" w:cs="宋体"/>
          <w:color w:val="333333"/>
          <w:kern w:val="0"/>
          <w:sz w:val="32"/>
          <w:szCs w:val="32"/>
          <w:lang w:val="en-US" w:eastAsia="zh-CN" w:bidi="ar"/>
        </w:rPr>
      </w:pPr>
      <w:r>
        <w:rPr>
          <w:rFonts w:hint="default" w:ascii="仿宋" w:hAnsi="仿宋" w:eastAsia="仿宋" w:cs="宋体"/>
          <w:color w:val="555555"/>
          <w:kern w:val="0"/>
          <w:sz w:val="32"/>
          <w:szCs w:val="32"/>
          <w:shd w:val="clear" w:fill="FFFFFF"/>
          <w:lang w:val="en-US" w:eastAsia="zh-CN" w:bidi="ar"/>
        </w:rPr>
        <w:t>2017年我院政府采购预算总计0万元</w:t>
      </w:r>
      <w:r>
        <w:rPr>
          <w:rFonts w:hint="eastAsia" w:ascii="仿宋" w:hAnsi="仿宋" w:eastAsia="仿宋" w:cs="宋体"/>
          <w:color w:val="555555"/>
          <w:kern w:val="0"/>
          <w:sz w:val="32"/>
          <w:szCs w:val="32"/>
          <w:shd w:val="clear" w:fill="FFFFFF"/>
          <w:lang w:val="en-US" w:eastAsia="zh-CN" w:bidi="ar"/>
        </w:rPr>
        <w:t>，其中货物类采购0万元，工程类采购0万元，河源市人民检察院2017年没有安排</w:t>
      </w:r>
      <w:r>
        <w:rPr>
          <w:rFonts w:hint="default" w:ascii="仿宋" w:hAnsi="仿宋" w:eastAsia="仿宋" w:cs="宋体"/>
          <w:color w:val="555555"/>
          <w:kern w:val="0"/>
          <w:sz w:val="32"/>
          <w:szCs w:val="32"/>
          <w:shd w:val="clear" w:fill="FFFFFF"/>
          <w:lang w:val="en-US" w:eastAsia="zh-CN" w:bidi="ar"/>
        </w:rPr>
        <w:t>政府采购预算</w:t>
      </w:r>
      <w:r>
        <w:rPr>
          <w:rFonts w:hint="eastAsia" w:ascii="仿宋" w:hAnsi="仿宋" w:eastAsia="仿宋" w:cs="宋体"/>
          <w:color w:val="555555"/>
          <w:kern w:val="0"/>
          <w:sz w:val="32"/>
          <w:szCs w:val="32"/>
          <w:shd w:val="clear" w:fill="FFFFFF"/>
          <w:lang w:val="en-US" w:eastAsia="zh-CN" w:bidi="ar"/>
        </w:rPr>
        <w:t>支出</w:t>
      </w:r>
      <w:r>
        <w:rPr>
          <w:rFonts w:hint="eastAsia" w:ascii="仿宋_GB2312" w:hAnsi="宋体" w:eastAsia="仿宋_GB2312" w:cs="宋体"/>
          <w:color w:val="333333"/>
          <w:kern w:val="0"/>
          <w:sz w:val="32"/>
          <w:szCs w:val="32"/>
          <w:lang w:val="en-US" w:eastAsia="zh-CN" w:bidi="ar"/>
        </w:rPr>
        <w:t>。</w:t>
      </w:r>
    </w:p>
    <w:p>
      <w:pPr>
        <w:pStyle w:val="3"/>
        <w:numPr>
          <w:ilvl w:val="0"/>
          <w:numId w:val="0"/>
        </w:numPr>
        <w:rPr>
          <w:rFonts w:hint="eastAsia"/>
          <w:lang w:val="en-US" w:eastAsia="zh-CN"/>
        </w:rPr>
      </w:pPr>
      <w:r>
        <w:rPr>
          <w:rFonts w:hint="eastAsia"/>
          <w:lang w:val="en-US" w:eastAsia="zh-CN"/>
        </w:rPr>
        <w:t>五、国有资产占有使用情况</w:t>
      </w:r>
    </w:p>
    <w:p>
      <w:pPr>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截至2016年12月31日，本部门共有车辆</w:t>
      </w:r>
      <w:r>
        <w:rPr>
          <w:rFonts w:hint="eastAsia" w:ascii="仿宋_GB2312" w:hAnsi="仿宋" w:eastAsia="仿宋_GB2312"/>
          <w:sz w:val="32"/>
          <w:szCs w:val="32"/>
          <w:lang w:val="en-US" w:eastAsia="zh-CN"/>
        </w:rPr>
        <w:t>14</w:t>
      </w:r>
      <w:r>
        <w:rPr>
          <w:rFonts w:hint="eastAsia" w:ascii="仿宋_GB2312" w:hAnsi="仿宋" w:eastAsia="仿宋_GB2312"/>
          <w:sz w:val="32"/>
          <w:szCs w:val="32"/>
        </w:rPr>
        <w:t>辆（定编使用车辆</w:t>
      </w:r>
      <w:r>
        <w:rPr>
          <w:rFonts w:hint="eastAsia" w:ascii="仿宋_GB2312" w:hAnsi="仿宋" w:eastAsia="仿宋_GB2312"/>
          <w:sz w:val="32"/>
          <w:szCs w:val="32"/>
          <w:lang w:val="en-US" w:eastAsia="zh-CN"/>
        </w:rPr>
        <w:t>14</w:t>
      </w:r>
      <w:r>
        <w:rPr>
          <w:rFonts w:hint="eastAsia" w:ascii="仿宋_GB2312" w:hAnsi="仿宋" w:eastAsia="仿宋_GB2312"/>
          <w:sz w:val="32"/>
          <w:szCs w:val="32"/>
        </w:rPr>
        <w:t>辆，因资产上划暂停资产处置审批而待处置的车辆</w:t>
      </w:r>
      <w:r>
        <w:rPr>
          <w:rFonts w:hint="eastAsia" w:ascii="仿宋_GB2312" w:hAnsi="仿宋" w:eastAsia="仿宋_GB2312"/>
          <w:sz w:val="32"/>
          <w:szCs w:val="32"/>
          <w:lang w:val="en-US" w:eastAsia="zh-CN"/>
        </w:rPr>
        <w:t>0</w:t>
      </w:r>
      <w:r>
        <w:rPr>
          <w:rFonts w:hint="eastAsia" w:ascii="仿宋_GB2312" w:hAnsi="仿宋" w:eastAsia="仿宋_GB2312"/>
          <w:sz w:val="32"/>
          <w:szCs w:val="32"/>
        </w:rPr>
        <w:t>辆），定编使用的车辆</w:t>
      </w:r>
      <w:r>
        <w:rPr>
          <w:rFonts w:hint="eastAsia" w:ascii="仿宋_GB2312" w:hAnsi="仿宋" w:eastAsia="仿宋_GB2312"/>
          <w:sz w:val="32"/>
          <w:szCs w:val="32"/>
          <w:lang w:val="en-US" w:eastAsia="zh-CN"/>
        </w:rPr>
        <w:t>14</w:t>
      </w:r>
      <w:r>
        <w:rPr>
          <w:rFonts w:hint="eastAsia" w:ascii="仿宋_GB2312" w:hAnsi="仿宋" w:eastAsia="仿宋_GB2312"/>
          <w:sz w:val="32"/>
          <w:szCs w:val="32"/>
        </w:rPr>
        <w:t>辆中：一般执法执勤用车</w:t>
      </w:r>
      <w:r>
        <w:rPr>
          <w:rFonts w:hint="eastAsia" w:ascii="仿宋_GB2312" w:hAnsi="仿宋" w:eastAsia="仿宋_GB2312"/>
          <w:sz w:val="32"/>
          <w:szCs w:val="32"/>
          <w:lang w:val="en-US" w:eastAsia="zh-CN"/>
        </w:rPr>
        <w:t>6</w:t>
      </w:r>
      <w:r>
        <w:rPr>
          <w:rFonts w:hint="eastAsia" w:ascii="仿宋_GB2312" w:hAnsi="仿宋" w:eastAsia="仿宋_GB2312"/>
          <w:sz w:val="32"/>
          <w:szCs w:val="32"/>
        </w:rPr>
        <w:t>辆，特种专业技术用车</w:t>
      </w:r>
      <w:r>
        <w:rPr>
          <w:rFonts w:hint="eastAsia" w:ascii="仿宋_GB2312" w:hAnsi="仿宋" w:eastAsia="仿宋_GB2312"/>
          <w:sz w:val="32"/>
          <w:szCs w:val="32"/>
          <w:lang w:val="en-US" w:eastAsia="zh-CN"/>
        </w:rPr>
        <w:t>4</w:t>
      </w:r>
      <w:r>
        <w:rPr>
          <w:rFonts w:hint="eastAsia" w:ascii="仿宋_GB2312" w:hAnsi="仿宋" w:eastAsia="仿宋_GB2312"/>
          <w:sz w:val="32"/>
          <w:szCs w:val="32"/>
        </w:rPr>
        <w:t>辆，机要通信、应急公务用车</w:t>
      </w:r>
      <w:r>
        <w:rPr>
          <w:rFonts w:hint="eastAsia" w:ascii="仿宋_GB2312" w:hAnsi="仿宋" w:eastAsia="仿宋_GB2312"/>
          <w:sz w:val="32"/>
          <w:szCs w:val="32"/>
          <w:lang w:val="en-US" w:eastAsia="zh-CN"/>
        </w:rPr>
        <w:t>2</w:t>
      </w:r>
      <w:r>
        <w:rPr>
          <w:rFonts w:hint="eastAsia" w:ascii="仿宋_GB2312" w:hAnsi="仿宋" w:eastAsia="仿宋_GB2312"/>
          <w:sz w:val="32"/>
          <w:szCs w:val="32"/>
        </w:rPr>
        <w:t>辆，其他用车2辆；单位价值在50万以上的通用设备</w:t>
      </w:r>
      <w:r>
        <w:rPr>
          <w:rFonts w:hint="eastAsia" w:ascii="仿宋_GB2312" w:hAnsi="仿宋" w:eastAsia="仿宋_GB2312"/>
          <w:sz w:val="32"/>
          <w:szCs w:val="32"/>
          <w:lang w:val="en-US" w:eastAsia="zh-CN"/>
        </w:rPr>
        <w:t>1</w:t>
      </w:r>
      <w:r>
        <w:rPr>
          <w:rFonts w:hint="eastAsia" w:ascii="仿宋_GB2312" w:hAnsi="仿宋" w:eastAsia="仿宋_GB2312"/>
          <w:sz w:val="32"/>
          <w:szCs w:val="32"/>
        </w:rPr>
        <w:t>台（套），单位价值在100万以上的专用设备0台（套）。</w:t>
      </w:r>
    </w:p>
    <w:p>
      <w:pPr>
        <w:pStyle w:val="3"/>
        <w:numPr>
          <w:ilvl w:val="0"/>
          <w:numId w:val="4"/>
        </w:numPr>
        <w:rPr>
          <w:rFonts w:hint="eastAsia"/>
          <w:szCs w:val="22"/>
          <w:lang w:val="en-US" w:eastAsia="zh-CN"/>
        </w:rPr>
      </w:pPr>
      <w:r>
        <w:rPr>
          <w:rFonts w:hint="eastAsia"/>
          <w:szCs w:val="22"/>
          <w:lang w:val="en-US" w:eastAsia="zh-CN"/>
        </w:rPr>
        <w:t>预算绩效信息公开情况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bookmarkStart w:id="10" w:name="_GoBack"/>
      <w:bookmarkEnd w:id="1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我院实施绩效目标管理的项目</w:t>
      </w:r>
      <w:r>
        <w:rPr>
          <w:rFonts w:hint="eastAsia" w:ascii="仿宋_GB2312" w:hAnsi="仿宋_GB2312" w:eastAsia="仿宋_GB2312" w:cs="仿宋_GB2312"/>
          <w:sz w:val="32"/>
          <w:szCs w:val="32"/>
          <w:lang w:val="en-US" w:eastAsia="zh-CN"/>
        </w:rPr>
        <w:t>0个，涉及一般公共预算当年拨款0万元。</w:t>
      </w:r>
    </w:p>
    <w:p>
      <w:pPr>
        <w:keepNext w:val="0"/>
        <w:keepLines w:val="0"/>
        <w:widowControl/>
        <w:numPr>
          <w:ilvl w:val="0"/>
          <w:numId w:val="0"/>
        </w:numPr>
        <w:suppressLineNumbers w:val="0"/>
        <w:spacing w:before="0" w:beforeAutospacing="1" w:afterAutospacing="1" w:line="30" w:lineRule="atLeast"/>
        <w:ind w:right="0" w:rightChars="0" w:firstLine="960" w:firstLineChars="300"/>
        <w:jc w:val="left"/>
        <w:rPr>
          <w:rFonts w:hint="eastAsia" w:ascii="仿宋_GB2312" w:hAnsi="宋体" w:eastAsia="仿宋_GB2312" w:cs="宋体"/>
          <w:color w:val="333333"/>
          <w:kern w:val="0"/>
          <w:sz w:val="32"/>
          <w:szCs w:val="32"/>
          <w:lang w:val="en-US" w:eastAsia="zh-CN" w:bidi="ar"/>
        </w:rPr>
      </w:pPr>
    </w:p>
    <w:p>
      <w:pPr>
        <w:pStyle w:val="2"/>
      </w:pPr>
      <w:bookmarkStart w:id="9" w:name="_Toc1446"/>
      <w:r>
        <w:rPr>
          <w:rFonts w:hint="default"/>
          <w:lang w:val="en-US" w:eastAsia="zh-CN"/>
        </w:rPr>
        <w:t>第</w:t>
      </w:r>
      <w:r>
        <w:rPr>
          <w:rFonts w:hint="eastAsia"/>
          <w:lang w:val="en-US" w:eastAsia="zh-CN"/>
        </w:rPr>
        <w:t>四</w:t>
      </w:r>
      <w:r>
        <w:rPr>
          <w:rFonts w:hint="default"/>
          <w:lang w:val="en-US" w:eastAsia="zh-CN"/>
        </w:rPr>
        <w:t>部分：名词解释</w:t>
      </w:r>
      <w:bookmarkEnd w:id="9"/>
    </w:p>
    <w:p>
      <w:pPr>
        <w:pStyle w:val="6"/>
        <w:keepNext w:val="0"/>
        <w:keepLines w:val="0"/>
        <w:widowControl/>
        <w:suppressLineNumbers w:val="0"/>
        <w:spacing w:before="0" w:beforeAutospacing="1" w:after="0" w:afterAutospacing="1" w:line="456" w:lineRule="auto"/>
        <w:ind w:left="0" w:right="0"/>
        <w:jc w:val="left"/>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（一）财政拨款收入：指省级财政当年拨付的资金。</w:t>
      </w:r>
    </w:p>
    <w:p>
      <w:pPr>
        <w:pStyle w:val="6"/>
        <w:keepNext w:val="0"/>
        <w:keepLines w:val="0"/>
        <w:widowControl/>
        <w:suppressLineNumbers w:val="0"/>
        <w:spacing w:before="0" w:beforeAutospacing="1" w:after="0" w:afterAutospacing="1" w:line="456" w:lineRule="auto"/>
        <w:ind w:left="0" w:right="0"/>
        <w:jc w:val="left"/>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（二）年初结转和结余：指以前年度尚未完成、结转到本年按有关规定继续使用的资金</w:t>
      </w:r>
    </w:p>
    <w:p>
      <w:pPr>
        <w:pStyle w:val="6"/>
        <w:keepNext w:val="0"/>
        <w:keepLines w:val="0"/>
        <w:widowControl/>
        <w:suppressLineNumbers w:val="0"/>
        <w:spacing w:before="0" w:beforeAutospacing="1" w:after="0" w:afterAutospacing="1" w:line="456" w:lineRule="auto"/>
        <w:ind w:left="0" w:right="0"/>
        <w:jc w:val="both"/>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（三）年末结转和结余：指本年度或以前年度预算安排、因客观条件发生变化无法按原计划实施，需要延迟到以后年度按有关规定继续使用的资金。</w:t>
      </w:r>
    </w:p>
    <w:p>
      <w:pPr>
        <w:pStyle w:val="6"/>
        <w:keepNext w:val="0"/>
        <w:keepLines w:val="0"/>
        <w:widowControl/>
        <w:suppressLineNumbers w:val="0"/>
        <w:spacing w:before="0" w:beforeAutospacing="1" w:after="0" w:afterAutospacing="1" w:line="456" w:lineRule="auto"/>
        <w:ind w:left="0" w:right="0"/>
        <w:jc w:val="both"/>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四）“三公”经费：纳入省级财政预决算管理的“三公”经费，是指预算单位使用财政拨款安排的因公出国（境）费、公务用车购置及运行费和公务接待费，其中，因公出国（境）费反映单位公务出国（境）的国际旅费、国外城市间交通费、住宿费、伙食费、培训费、公杂费等支出；公务用车购置及运行费反映单位用车车辆购置支出（含车辆购置税）及租用费、燃料费、维修费、过路过桥费、保险费、安全奖励费用等支出；公务接待费反映单位按规定开支的各类公务接待（含外宾接待）支出。</w:t>
      </w:r>
    </w:p>
    <w:p>
      <w:pPr>
        <w:pStyle w:val="6"/>
        <w:keepNext w:val="0"/>
        <w:keepLines w:val="0"/>
        <w:widowControl/>
        <w:suppressLineNumbers w:val="0"/>
        <w:spacing w:before="0" w:beforeAutospacing="1" w:after="0" w:afterAutospacing="1" w:line="456" w:lineRule="auto"/>
        <w:ind w:left="0" w:right="0"/>
        <w:jc w:val="both"/>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五）机关运行经费：为保障行政单位运行用于购买货物和服务的各项资金，包括办公及印刷费、邮电费、差旅费、会议费、福利费、日常维修费、一般设备购置费、办公办案用房水电费、办公用房物业管理费、公务用车运行维护费以及其他费用。</w:t>
      </w:r>
    </w:p>
    <w:p>
      <w:pPr>
        <w:pStyle w:val="6"/>
        <w:keepNext w:val="0"/>
        <w:keepLines w:val="0"/>
        <w:widowControl/>
        <w:suppressLineNumbers w:val="0"/>
        <w:spacing w:after="150" w:afterAutospacing="0" w:line="30" w:lineRule="atLeast"/>
        <w:jc w:val="left"/>
      </w:pPr>
      <w:r>
        <w:rPr>
          <w:rFonts w:hint="eastAsia" w:ascii="宋体" w:hAnsi="宋体" w:eastAsia="宋体" w:cs="宋体"/>
          <w:color w:val="333333"/>
          <w:sz w:val="23"/>
          <w:szCs w:val="23"/>
        </w:rPr>
        <w:t> </w:t>
      </w:r>
    </w:p>
    <w:p>
      <w:pPr>
        <w:keepNext w:val="0"/>
        <w:keepLines w:val="0"/>
        <w:widowControl/>
        <w:suppressLineNumbers w:val="0"/>
        <w:spacing w:before="0" w:beforeAutospacing="1" w:afterAutospacing="1" w:line="30" w:lineRule="atLeast"/>
        <w:ind w:left="0" w:right="0"/>
        <w:jc w:val="right"/>
      </w:pPr>
      <w:r>
        <w:rPr>
          <w:rFonts w:hint="default" w:ascii="仿宋_GB2312" w:hAnsi="宋体" w:eastAsia="仿宋_GB2312" w:cs="宋体"/>
          <w:color w:val="333333"/>
          <w:kern w:val="0"/>
          <w:sz w:val="32"/>
          <w:szCs w:val="32"/>
          <w:lang w:val="en-US" w:eastAsia="zh-CN" w:bidi="ar"/>
        </w:rPr>
        <w:t xml:space="preserve">                                    2017年2月20日</w:t>
      </w:r>
    </w:p>
    <w:p>
      <w:pPr>
        <w:spacing w:beforeLines="0" w:afterLines="0"/>
        <w:jc w:val="left"/>
        <w:rPr>
          <w:rFonts w:hint="eastAsia" w:ascii="仿宋" w:hAnsi="仿宋" w:eastAsia="仿宋"/>
          <w:color w:val="000000"/>
          <w:sz w:val="44"/>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5F46A"/>
    <w:multiLevelType w:val="singleLevel"/>
    <w:tmpl w:val="EF65F46A"/>
    <w:lvl w:ilvl="0" w:tentative="0">
      <w:start w:val="1"/>
      <w:numFmt w:val="chineseCounting"/>
      <w:suff w:val="space"/>
      <w:lvlText w:val="第%1部分"/>
      <w:lvlJc w:val="left"/>
      <w:rPr>
        <w:rFonts w:hint="eastAsia"/>
      </w:rPr>
    </w:lvl>
  </w:abstractNum>
  <w:abstractNum w:abstractNumId="1">
    <w:nsid w:val="FEC50A2C"/>
    <w:multiLevelType w:val="singleLevel"/>
    <w:tmpl w:val="FEC50A2C"/>
    <w:lvl w:ilvl="0" w:tentative="0">
      <w:start w:val="6"/>
      <w:numFmt w:val="chineseCounting"/>
      <w:suff w:val="nothing"/>
      <w:lvlText w:val="%1、"/>
      <w:lvlJc w:val="left"/>
      <w:rPr>
        <w:rFonts w:hint="eastAsia"/>
      </w:rPr>
    </w:lvl>
  </w:abstractNum>
  <w:abstractNum w:abstractNumId="2">
    <w:nsid w:val="488EB33F"/>
    <w:multiLevelType w:val="singleLevel"/>
    <w:tmpl w:val="488EB33F"/>
    <w:lvl w:ilvl="0" w:tentative="0">
      <w:start w:val="1"/>
      <w:numFmt w:val="chineseCounting"/>
      <w:suff w:val="nothing"/>
      <w:lvlText w:val="%1、"/>
      <w:lvlJc w:val="left"/>
      <w:rPr>
        <w:rFonts w:hint="eastAsia"/>
      </w:rPr>
    </w:lvl>
  </w:abstractNum>
  <w:abstractNum w:abstractNumId="3">
    <w:nsid w:val="6D752CE8"/>
    <w:multiLevelType w:val="singleLevel"/>
    <w:tmpl w:val="6D752CE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073D0"/>
    <w:rsid w:val="0AA03A0A"/>
    <w:rsid w:val="0AF00BDB"/>
    <w:rsid w:val="177247E0"/>
    <w:rsid w:val="21A1027D"/>
    <w:rsid w:val="265C5A7B"/>
    <w:rsid w:val="2CD56AF3"/>
    <w:rsid w:val="3C1C26E6"/>
    <w:rsid w:val="3CE20118"/>
    <w:rsid w:val="3E3344FE"/>
    <w:rsid w:val="413D3B12"/>
    <w:rsid w:val="465148D6"/>
    <w:rsid w:val="5A7F3350"/>
    <w:rsid w:val="7D931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toc 1"/>
    <w:basedOn w:val="1"/>
    <w:next w:val="1"/>
    <w:uiPriority w:val="0"/>
  </w:style>
  <w:style w:type="paragraph" w:styleId="5">
    <w:name w:val="toc 2"/>
    <w:basedOn w:val="1"/>
    <w:next w:val="1"/>
    <w:uiPriority w:val="0"/>
    <w:pPr>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1">
    <w:name w:val="node"/>
    <w:basedOn w:val="7"/>
    <w:qFormat/>
    <w:uiPriority w:val="0"/>
  </w:style>
  <w:style w:type="character" w:customStyle="1" w:styleId="12">
    <w:name w:val="node_close"/>
    <w:basedOn w:val="7"/>
    <w:qFormat/>
    <w:uiPriority w:val="0"/>
  </w:style>
  <w:style w:type="character" w:customStyle="1" w:styleId="13">
    <w:name w:val="current2"/>
    <w:basedOn w:val="7"/>
    <w:uiPriority w:val="0"/>
    <w:rPr>
      <w:shd w:val="clear" w:fill="FFFFFF"/>
    </w:rPr>
  </w:style>
  <w:style w:type="character" w:customStyle="1" w:styleId="14">
    <w:name w:val="current3"/>
    <w:basedOn w:val="7"/>
    <w:qFormat/>
    <w:uiPriority w:val="0"/>
    <w:rPr>
      <w:shd w:val="clear" w:fill="FF7D01"/>
    </w:rPr>
  </w:style>
  <w:style w:type="character" w:customStyle="1" w:styleId="15">
    <w:name w:val="c"/>
    <w:basedOn w:val="7"/>
    <w:qFormat/>
    <w:uiPriority w:val="0"/>
    <w:rPr>
      <w:b/>
      <w:color w:val="000000"/>
      <w:bdr w:val="single" w:color="CCCCCC" w:sz="2" w:space="0"/>
    </w:rPr>
  </w:style>
  <w:style w:type="character" w:customStyle="1" w:styleId="16">
    <w:name w:val="current"/>
    <w:basedOn w:val="7"/>
    <w:qFormat/>
    <w:uiPriority w:val="0"/>
    <w:rPr>
      <w:shd w:val="clear" w:fill="FFFFFF"/>
    </w:rPr>
  </w:style>
  <w:style w:type="character" w:customStyle="1" w:styleId="17">
    <w:name w:val="current1"/>
    <w:basedOn w:val="7"/>
    <w:uiPriority w:val="0"/>
    <w:rPr>
      <w:shd w:val="clear" w:fill="FF7D01"/>
    </w:rPr>
  </w:style>
  <w:style w:type="character" w:customStyle="1" w:styleId="18">
    <w:name w:val="author1"/>
    <w:basedOn w:val="7"/>
    <w:qFormat/>
    <w:uiPriority w:val="0"/>
  </w:style>
  <w:style w:type="character" w:customStyle="1" w:styleId="19">
    <w:name w:val="sources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小寺</cp:lastModifiedBy>
  <dcterms:modified xsi:type="dcterms:W3CDTF">2018-04-09T03:25:27Z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